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411" w:rsidRPr="008740B2" w:rsidRDefault="002B6411" w:rsidP="008740B2">
      <w:pPr>
        <w:widowControl/>
        <w:jc w:val="center"/>
        <w:rPr>
          <w:rFonts w:ascii="Courier New" w:eastAsia="宋体" w:hAnsi="Courier New" w:cs="Courier New"/>
          <w:b/>
          <w:bCs/>
          <w:kern w:val="0"/>
          <w:sz w:val="36"/>
          <w:szCs w:val="36"/>
        </w:rPr>
      </w:pPr>
      <w:bookmarkStart w:id="0" w:name="_GoBack"/>
      <w:r w:rsidRPr="008740B2">
        <w:rPr>
          <w:rFonts w:ascii="Courier New" w:eastAsia="宋体" w:hAnsi="Courier New" w:cs="Courier New"/>
          <w:b/>
          <w:bCs/>
          <w:kern w:val="0"/>
          <w:sz w:val="36"/>
          <w:szCs w:val="36"/>
        </w:rPr>
        <w:t>“</w:t>
      </w:r>
      <w:r w:rsidRPr="008740B2">
        <w:rPr>
          <w:rFonts w:ascii="Courier New" w:eastAsia="宋体" w:hAnsi="Courier New" w:cs="Courier New"/>
          <w:b/>
          <w:bCs/>
          <w:kern w:val="0"/>
          <w:sz w:val="36"/>
          <w:szCs w:val="36"/>
        </w:rPr>
        <w:t>宝盈理财</w:t>
      </w:r>
      <w:r w:rsidRPr="008740B2">
        <w:rPr>
          <w:rFonts w:ascii="Courier New" w:eastAsia="宋体" w:hAnsi="Courier New" w:cs="Courier New"/>
          <w:b/>
          <w:bCs/>
          <w:kern w:val="0"/>
          <w:sz w:val="36"/>
          <w:szCs w:val="36"/>
        </w:rPr>
        <w:t>”</w:t>
      </w:r>
      <w:r w:rsidRPr="008740B2">
        <w:rPr>
          <w:rFonts w:ascii="Courier New" w:eastAsia="宋体" w:hAnsi="Courier New" w:cs="Courier New"/>
          <w:b/>
          <w:bCs/>
          <w:kern w:val="0"/>
          <w:sz w:val="36"/>
          <w:szCs w:val="36"/>
        </w:rPr>
        <w:t>安逸</w:t>
      </w:r>
      <w:r w:rsidRPr="008740B2">
        <w:rPr>
          <w:rFonts w:ascii="Courier New" w:eastAsia="宋体" w:hAnsi="Courier New" w:cs="Courier New"/>
          <w:b/>
          <w:bCs/>
          <w:kern w:val="0"/>
          <w:sz w:val="36"/>
          <w:szCs w:val="36"/>
        </w:rPr>
        <w:t>254</w:t>
      </w:r>
      <w:r w:rsidRPr="008740B2">
        <w:rPr>
          <w:rFonts w:ascii="Courier New" w:eastAsia="宋体" w:hAnsi="Courier New" w:cs="Courier New"/>
          <w:b/>
          <w:bCs/>
          <w:kern w:val="0"/>
          <w:sz w:val="36"/>
          <w:szCs w:val="36"/>
        </w:rPr>
        <w:t>号人民币理财产品说明书</w:t>
      </w:r>
    </w:p>
    <w:p w:rsidR="002B6411" w:rsidRPr="008740B2" w:rsidRDefault="002B6411" w:rsidP="008740B2">
      <w:pPr>
        <w:widowControl/>
        <w:jc w:val="left"/>
        <w:rPr>
          <w:rFonts w:ascii="楷体" w:eastAsia="楷体" w:hAnsi="楷体" w:cs="宋体"/>
          <w:b/>
          <w:bCs/>
          <w:color w:val="000000"/>
          <w:kern w:val="0"/>
          <w:sz w:val="24"/>
          <w:szCs w:val="24"/>
        </w:rPr>
      </w:pPr>
      <w:r w:rsidRPr="008740B2">
        <w:rPr>
          <w:rFonts w:ascii="楷体" w:eastAsia="楷体" w:hAnsi="楷体" w:cs="宋体" w:hint="eastAsia"/>
          <w:b/>
          <w:bCs/>
          <w:color w:val="000000"/>
          <w:kern w:val="0"/>
          <w:sz w:val="24"/>
          <w:szCs w:val="24"/>
        </w:rPr>
        <w:t>客户须知</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本说明书与《广东南粤银行理财产品客户协议书》、《广东南粤银行理财产品适合度评估书》、《广东南粤银行理财产品客户权益须知》、《广东南粤银行理财产品风险提示书》共同构成完整的不可分割的理财合同。</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理财非存款，产品有风险，投资需谨慎。在购买本理财产品前，请投资者确保完全明白此类投资的性质、投资所涉及的风险以及自身承受风险的能力。投资者若对本说明书的内容有任何疑问，请向广东南粤银行各营业网点咨询。</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本说明书所引用的资料及数据仅供投资者参考，均不构成对投资者的推荐和承诺。</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本说明书所有条款解释权归广东南粤银行股份有限公司所有。</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一、风险提示</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本理财计划为保本浮动收益型理财产品，理财收益来源于本理财计划投资的回报，容易受到市场利率变化、资产运作情况及投资管理方投资能力的影响，投资者应该充分认识投资风险，谨慎投资。以下风险揭示内容请投资者详细阅读，在充分了解并清楚知晓本产品蕴含风险的基础上，通过自身判断自主参与交易，并自愿承担相关风险：</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1、本金及理财收益风险：本理财计划为保本浮动收益型，理财收益来源于本理财计划投资的回报，容易受到市场利率变化、资产运作情况及投资管理方投资能力的影响。在部分或全部资产未能完全按预期价格出让的情况下，客户净收益率可能下降，最不利情形是客户净收益率为0，但理财行保证客户本金不受损失。</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2、流动性风险：投资者无提前终止权，可能导致投资者需要资金时不能随时变现，并可能使投资者丧失其他投资机会。</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3、市场风险：受各种市场因素、宏观政策因素等的影响，理财产品所投资的未到期债券、央行票据、金融债、信托融资等金融产品</w:t>
      </w:r>
      <w:r w:rsidRPr="008740B2">
        <w:rPr>
          <w:rFonts w:ascii="楷体" w:eastAsia="楷体" w:hAnsi="楷体" w:cs="宋体" w:hint="eastAsia"/>
          <w:kern w:val="0"/>
          <w:sz w:val="24"/>
          <w:szCs w:val="24"/>
        </w:rPr>
        <w:t>会上下波动，影响理财产品收益。</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4、理财产品不成立风险：如理财产品募集结束时，</w:t>
      </w:r>
      <w:proofErr w:type="gramStart"/>
      <w:r w:rsidRPr="008740B2">
        <w:rPr>
          <w:rFonts w:ascii="楷体" w:eastAsia="楷体" w:hAnsi="楷体" w:cs="宋体" w:hint="eastAsia"/>
          <w:color w:val="000000"/>
          <w:kern w:val="0"/>
          <w:sz w:val="24"/>
          <w:szCs w:val="24"/>
        </w:rPr>
        <w:t>认购总</w:t>
      </w:r>
      <w:proofErr w:type="gramEnd"/>
      <w:r w:rsidRPr="008740B2">
        <w:rPr>
          <w:rFonts w:ascii="楷体" w:eastAsia="楷体" w:hAnsi="楷体" w:cs="宋体" w:hint="eastAsia"/>
          <w:color w:val="000000"/>
          <w:kern w:val="0"/>
          <w:sz w:val="24"/>
          <w:szCs w:val="24"/>
        </w:rPr>
        <w:t>金额未达到规模要求或市场发生剧烈波动等情况，经广东南粤银行合理判断难以按照本理财产品说明书规定向购买者提供本理财产品，广东南粤银行有权宣布本理财产品不成立。</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5、管理人风险：因管理人的知识、经验、判断、决策、技能等，会影响其对信息的获取和对经济形势、金融市场价格走势的判断从而影响收益水平。</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6、政策风险：本理财产品根据当前相关法律法规和政策设计，如国家宏观政策及市场相关法律法规发生变化，可能影响理财产品的受理、投资、偿还等正常进行，甚至导致本理财收益降低。</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7、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8、信息传递风险：广东南粤银行按照本说明书有关“提前终止”和“信息披露及投诉方式”条款的约定，发布本理财产品的运作与清算信息公告。投资者应根据“提前终止”和“信息披露及投诉方式”条款的约定及时致电广东南粤银行客户服务热线（4000－961818）或到广东南粤银行各营业网点查询。如果投资</w:t>
      </w:r>
      <w:r w:rsidRPr="008740B2">
        <w:rPr>
          <w:rFonts w:ascii="楷体" w:eastAsia="楷体" w:hAnsi="楷体" w:cs="宋体" w:hint="eastAsia"/>
          <w:color w:val="000000"/>
          <w:kern w:val="0"/>
          <w:sz w:val="24"/>
          <w:szCs w:val="24"/>
        </w:rPr>
        <w:lastRenderedPageBreak/>
        <w:t>者未及时查询，或由于通讯故障、系统故障以及其他不可抗力等因素的影响使得投资者无法及时了解理财产品信息，因此而产生的风险和责任由投资者自行承担。</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本理财产品风险评级：R2</w:t>
      </w:r>
    </w:p>
    <w:tbl>
      <w:tblPr>
        <w:tblW w:w="8500" w:type="dxa"/>
        <w:tblInd w:w="108" w:type="dxa"/>
        <w:tblLook w:val="04A0" w:firstRow="1" w:lastRow="0" w:firstColumn="1" w:lastColumn="0" w:noHBand="0" w:noVBand="1"/>
      </w:tblPr>
      <w:tblGrid>
        <w:gridCol w:w="846"/>
        <w:gridCol w:w="1537"/>
        <w:gridCol w:w="1889"/>
        <w:gridCol w:w="2006"/>
        <w:gridCol w:w="2222"/>
      </w:tblGrid>
      <w:tr w:rsidR="008740B2" w:rsidRPr="008740B2" w:rsidTr="008740B2">
        <w:trPr>
          <w:trHeight w:val="285"/>
        </w:trPr>
        <w:tc>
          <w:tcPr>
            <w:tcW w:w="720"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bookmarkEnd w:id="0"/>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内部风险评级</w:t>
            </w:r>
          </w:p>
        </w:tc>
        <w:tc>
          <w:tcPr>
            <w:tcW w:w="7780" w:type="dxa"/>
            <w:gridSpan w:val="4"/>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本理财产品内部风险评级为：R2</w:t>
            </w:r>
          </w:p>
        </w:tc>
      </w:tr>
      <w:tr w:rsidR="008740B2" w:rsidRPr="008740B2" w:rsidTr="008740B2">
        <w:trPr>
          <w:trHeight w:val="285"/>
        </w:trPr>
        <w:tc>
          <w:tcPr>
            <w:tcW w:w="720" w:type="dxa"/>
            <w:vMerge/>
            <w:tcBorders>
              <w:top w:val="nil"/>
              <w:left w:val="single" w:sz="4" w:space="0" w:color="auto"/>
              <w:bottom w:val="single" w:sz="4" w:space="0" w:color="000000"/>
              <w:right w:val="single" w:sz="4" w:space="0" w:color="auto"/>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风险评级</w:t>
            </w:r>
          </w:p>
        </w:tc>
        <w:tc>
          <w:tcPr>
            <w:tcW w:w="1920" w:type="dxa"/>
            <w:tcBorders>
              <w:top w:val="nil"/>
              <w:left w:val="nil"/>
              <w:bottom w:val="single" w:sz="4" w:space="0" w:color="auto"/>
              <w:right w:val="single" w:sz="4" w:space="0" w:color="auto"/>
            </w:tcBorders>
            <w:shd w:val="clear" w:color="auto" w:fill="auto"/>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风险程度</w:t>
            </w:r>
          </w:p>
        </w:tc>
        <w:tc>
          <w:tcPr>
            <w:tcW w:w="2040" w:type="dxa"/>
            <w:tcBorders>
              <w:top w:val="nil"/>
              <w:left w:val="nil"/>
              <w:bottom w:val="single" w:sz="4" w:space="0" w:color="auto"/>
              <w:right w:val="single" w:sz="4" w:space="0" w:color="auto"/>
            </w:tcBorders>
            <w:shd w:val="clear" w:color="auto" w:fill="auto"/>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适合的投资者</w:t>
            </w:r>
          </w:p>
        </w:tc>
        <w:tc>
          <w:tcPr>
            <w:tcW w:w="2260" w:type="dxa"/>
            <w:tcBorders>
              <w:top w:val="nil"/>
              <w:left w:val="nil"/>
              <w:bottom w:val="single" w:sz="4" w:space="0" w:color="auto"/>
              <w:right w:val="single" w:sz="4" w:space="0" w:color="auto"/>
            </w:tcBorders>
            <w:shd w:val="clear" w:color="auto" w:fill="auto"/>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适合投资策略</w:t>
            </w:r>
          </w:p>
        </w:tc>
      </w:tr>
      <w:tr w:rsidR="008740B2" w:rsidRPr="008740B2" w:rsidTr="008740B2">
        <w:trPr>
          <w:trHeight w:val="315"/>
        </w:trPr>
        <w:tc>
          <w:tcPr>
            <w:tcW w:w="720" w:type="dxa"/>
            <w:vMerge/>
            <w:tcBorders>
              <w:top w:val="nil"/>
              <w:left w:val="single" w:sz="4" w:space="0" w:color="auto"/>
              <w:bottom w:val="single" w:sz="4" w:space="0" w:color="000000"/>
              <w:right w:val="single" w:sz="4" w:space="0" w:color="auto"/>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R1</w:t>
            </w:r>
          </w:p>
        </w:tc>
        <w:tc>
          <w:tcPr>
            <w:tcW w:w="192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低</w:t>
            </w:r>
          </w:p>
        </w:tc>
        <w:tc>
          <w:tcPr>
            <w:tcW w:w="204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保守型</w:t>
            </w:r>
          </w:p>
        </w:tc>
        <w:tc>
          <w:tcPr>
            <w:tcW w:w="22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风险控制</w:t>
            </w:r>
          </w:p>
        </w:tc>
      </w:tr>
      <w:tr w:rsidR="008740B2" w:rsidRPr="008740B2" w:rsidTr="008740B2">
        <w:trPr>
          <w:trHeight w:val="315"/>
        </w:trPr>
        <w:tc>
          <w:tcPr>
            <w:tcW w:w="720" w:type="dxa"/>
            <w:vMerge/>
            <w:tcBorders>
              <w:top w:val="nil"/>
              <w:left w:val="single" w:sz="4" w:space="0" w:color="auto"/>
              <w:bottom w:val="single" w:sz="4" w:space="0" w:color="000000"/>
              <w:right w:val="single" w:sz="4" w:space="0" w:color="auto"/>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R2</w:t>
            </w:r>
          </w:p>
        </w:tc>
        <w:tc>
          <w:tcPr>
            <w:tcW w:w="192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较低</w:t>
            </w:r>
          </w:p>
        </w:tc>
        <w:tc>
          <w:tcPr>
            <w:tcW w:w="204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稳健型</w:t>
            </w:r>
          </w:p>
        </w:tc>
        <w:tc>
          <w:tcPr>
            <w:tcW w:w="22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稳健发展</w:t>
            </w:r>
          </w:p>
        </w:tc>
      </w:tr>
      <w:tr w:rsidR="008740B2" w:rsidRPr="008740B2" w:rsidTr="008740B2">
        <w:trPr>
          <w:trHeight w:val="315"/>
        </w:trPr>
        <w:tc>
          <w:tcPr>
            <w:tcW w:w="720" w:type="dxa"/>
            <w:vMerge/>
            <w:tcBorders>
              <w:top w:val="nil"/>
              <w:left w:val="single" w:sz="4" w:space="0" w:color="auto"/>
              <w:bottom w:val="single" w:sz="4" w:space="0" w:color="000000"/>
              <w:right w:val="single" w:sz="4" w:space="0" w:color="auto"/>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R3</w:t>
            </w:r>
          </w:p>
        </w:tc>
        <w:tc>
          <w:tcPr>
            <w:tcW w:w="192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中</w:t>
            </w:r>
          </w:p>
        </w:tc>
        <w:tc>
          <w:tcPr>
            <w:tcW w:w="204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平衡型</w:t>
            </w:r>
          </w:p>
        </w:tc>
        <w:tc>
          <w:tcPr>
            <w:tcW w:w="22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均衡成长</w:t>
            </w:r>
          </w:p>
        </w:tc>
      </w:tr>
      <w:tr w:rsidR="008740B2" w:rsidRPr="008740B2" w:rsidTr="008740B2">
        <w:trPr>
          <w:trHeight w:val="315"/>
        </w:trPr>
        <w:tc>
          <w:tcPr>
            <w:tcW w:w="720" w:type="dxa"/>
            <w:vMerge/>
            <w:tcBorders>
              <w:top w:val="nil"/>
              <w:left w:val="single" w:sz="4" w:space="0" w:color="auto"/>
              <w:bottom w:val="single" w:sz="4" w:space="0" w:color="000000"/>
              <w:right w:val="single" w:sz="4" w:space="0" w:color="auto"/>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R4</w:t>
            </w:r>
          </w:p>
        </w:tc>
        <w:tc>
          <w:tcPr>
            <w:tcW w:w="192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较高</w:t>
            </w:r>
          </w:p>
        </w:tc>
        <w:tc>
          <w:tcPr>
            <w:tcW w:w="204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成长型</w:t>
            </w:r>
          </w:p>
        </w:tc>
        <w:tc>
          <w:tcPr>
            <w:tcW w:w="22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积极进取</w:t>
            </w:r>
          </w:p>
        </w:tc>
      </w:tr>
      <w:tr w:rsidR="008740B2" w:rsidRPr="008740B2" w:rsidTr="008740B2">
        <w:trPr>
          <w:trHeight w:val="315"/>
        </w:trPr>
        <w:tc>
          <w:tcPr>
            <w:tcW w:w="720" w:type="dxa"/>
            <w:vMerge/>
            <w:tcBorders>
              <w:top w:val="nil"/>
              <w:left w:val="single" w:sz="4" w:space="0" w:color="auto"/>
              <w:bottom w:val="single" w:sz="4" w:space="0" w:color="000000"/>
              <w:right w:val="single" w:sz="4" w:space="0" w:color="auto"/>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15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R5</w:t>
            </w:r>
          </w:p>
        </w:tc>
        <w:tc>
          <w:tcPr>
            <w:tcW w:w="192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高</w:t>
            </w:r>
          </w:p>
        </w:tc>
        <w:tc>
          <w:tcPr>
            <w:tcW w:w="204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进取型</w:t>
            </w:r>
          </w:p>
        </w:tc>
        <w:tc>
          <w:tcPr>
            <w:tcW w:w="2260" w:type="dxa"/>
            <w:tcBorders>
              <w:top w:val="nil"/>
              <w:left w:val="nil"/>
              <w:bottom w:val="single" w:sz="4" w:space="0" w:color="auto"/>
              <w:right w:val="single" w:sz="4" w:space="0" w:color="auto"/>
            </w:tcBorders>
            <w:shd w:val="clear" w:color="000000" w:fill="CCE8CF"/>
            <w:vAlign w:val="center"/>
            <w:hideMark/>
          </w:tcPr>
          <w:p w:rsidR="008740B2" w:rsidRPr="008740B2" w:rsidRDefault="008740B2" w:rsidP="008740B2">
            <w:pPr>
              <w:widowControl/>
              <w:jc w:val="center"/>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风险承受</w:t>
            </w:r>
          </w:p>
        </w:tc>
      </w:tr>
    </w:tbl>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（本评级为广东南粤银行股份有限公司内部评级，仅供参考）</w:t>
      </w:r>
    </w:p>
    <w:p w:rsidR="002B6411" w:rsidRPr="008740B2" w:rsidRDefault="002B6411" w:rsidP="008740B2">
      <w:pPr>
        <w:widowControl/>
        <w:jc w:val="left"/>
        <w:rPr>
          <w:rFonts w:ascii="楷体" w:eastAsia="楷体" w:hAnsi="楷体" w:cs="宋体"/>
          <w:color w:val="000000"/>
          <w:kern w:val="0"/>
          <w:sz w:val="24"/>
          <w:szCs w:val="24"/>
        </w:rPr>
      </w:pP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二、产品概述</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（一）产品定义</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本产品是指投资人将人民币资金存放在我行，并委托我行进行资金运作的理财产品。</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（二）产品基本要素</w:t>
      </w:r>
    </w:p>
    <w:tbl>
      <w:tblPr>
        <w:tblW w:w="8500" w:type="dxa"/>
        <w:tblInd w:w="108" w:type="dxa"/>
        <w:tblLook w:val="04A0" w:firstRow="1" w:lastRow="0" w:firstColumn="1" w:lastColumn="0" w:noHBand="0" w:noVBand="1"/>
      </w:tblPr>
      <w:tblGrid>
        <w:gridCol w:w="2280"/>
        <w:gridCol w:w="6220"/>
      </w:tblGrid>
      <w:tr w:rsidR="008740B2" w:rsidRPr="008740B2" w:rsidTr="008740B2">
        <w:trPr>
          <w:trHeight w:val="285"/>
        </w:trPr>
        <w:tc>
          <w:tcPr>
            <w:tcW w:w="22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产品名称</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“宝盈理财”安逸254号人民币理财产品</w:t>
            </w:r>
          </w:p>
        </w:tc>
      </w:tr>
      <w:tr w:rsidR="008740B2" w:rsidRPr="008740B2" w:rsidTr="008740B2">
        <w:trPr>
          <w:trHeight w:val="28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代码：GDNY_AY_254</w:t>
            </w:r>
          </w:p>
        </w:tc>
      </w:tr>
      <w:tr w:rsidR="008740B2" w:rsidRPr="008740B2" w:rsidTr="008740B2">
        <w:trPr>
          <w:trHeight w:val="28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发行登记号：C1083015000283</w:t>
            </w:r>
          </w:p>
        </w:tc>
      </w:tr>
      <w:tr w:rsidR="008740B2" w:rsidRPr="008740B2" w:rsidTr="008740B2">
        <w:trPr>
          <w:trHeight w:val="73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目标客户</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经我行风险评估，评定为稳健型、平衡型、成长型、进取</w:t>
            </w:r>
            <w:proofErr w:type="gramStart"/>
            <w:r w:rsidRPr="008740B2">
              <w:rPr>
                <w:rFonts w:ascii="楷体" w:eastAsia="楷体" w:hAnsi="楷体" w:cs="宋体" w:hint="eastAsia"/>
                <w:color w:val="000000"/>
                <w:kern w:val="0"/>
                <w:sz w:val="24"/>
                <w:szCs w:val="24"/>
              </w:rPr>
              <w:t>型个人</w:t>
            </w:r>
            <w:proofErr w:type="gramEnd"/>
            <w:r w:rsidRPr="008740B2">
              <w:rPr>
                <w:rFonts w:ascii="楷体" w:eastAsia="楷体" w:hAnsi="楷体" w:cs="宋体" w:hint="eastAsia"/>
                <w:color w:val="000000"/>
                <w:kern w:val="0"/>
                <w:sz w:val="24"/>
                <w:szCs w:val="24"/>
              </w:rPr>
              <w:t>客户。</w:t>
            </w:r>
          </w:p>
        </w:tc>
      </w:tr>
      <w:tr w:rsidR="008740B2" w:rsidRPr="008740B2" w:rsidTr="008740B2">
        <w:trPr>
          <w:trHeight w:val="45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购买方式</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通过广东南粤银行各营业网点或</w:t>
            </w:r>
            <w:proofErr w:type="gramStart"/>
            <w:r w:rsidRPr="008740B2">
              <w:rPr>
                <w:rFonts w:ascii="楷体" w:eastAsia="楷体" w:hAnsi="楷体" w:cs="宋体" w:hint="eastAsia"/>
                <w:color w:val="000000"/>
                <w:kern w:val="0"/>
                <w:sz w:val="24"/>
                <w:szCs w:val="24"/>
              </w:rPr>
              <w:t>广东南粤银行网银认购</w:t>
            </w:r>
            <w:proofErr w:type="gramEnd"/>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期限</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35天</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投资及收益币种</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人民币</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产品类型</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保本浮动收益型</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发行规模</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以实际募集金额为准</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募集期</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2015年9月16日至2015年9月22日</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起始日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2015年9月23日。理财产品自起始日起息。</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到期日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2015年10月28日</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产品到期资金到账日</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到期日后2个工作日内</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理财资金托管行</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中国邮政储蓄银行</w:t>
            </w:r>
          </w:p>
        </w:tc>
      </w:tr>
      <w:tr w:rsidR="008740B2" w:rsidRPr="008740B2" w:rsidTr="002B6411">
        <w:trPr>
          <w:trHeight w:val="416"/>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资金投向</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本期产品募集的资金全额投资但不限于银行间市场债券、同业存款、融资租赁资产、货币基金、债券基金、信托计划以及固定收益类券商集合资产管理计划、定向资产管理计划等金融产品（具体以每期产品的实际投向为准），其中现金比例不高于净资产的10%，银行间市场债券、同业存款、融资租赁资产、货币基金、债券基金、信托计划以及固定收益类券商集合资产管理计划、定向资产管理计划等金融产品合计占净资产比例为90%-100%（理财产品存续期内可能因市场的重大变化导致投资比例暂时超出上述区间，银行将</w:t>
            </w:r>
            <w:proofErr w:type="gramStart"/>
            <w:r w:rsidRPr="008740B2">
              <w:rPr>
                <w:rFonts w:ascii="楷体" w:eastAsia="楷体" w:hAnsi="楷体" w:cs="宋体" w:hint="eastAsia"/>
                <w:color w:val="000000"/>
                <w:kern w:val="0"/>
                <w:sz w:val="24"/>
                <w:szCs w:val="24"/>
              </w:rPr>
              <w:t>尽合理</w:t>
            </w:r>
            <w:proofErr w:type="gramEnd"/>
            <w:r w:rsidRPr="008740B2">
              <w:rPr>
                <w:rFonts w:ascii="楷体" w:eastAsia="楷体" w:hAnsi="楷体" w:cs="宋体" w:hint="eastAsia"/>
                <w:color w:val="000000"/>
                <w:kern w:val="0"/>
                <w:sz w:val="24"/>
                <w:szCs w:val="24"/>
              </w:rPr>
              <w:t>努力，以客户利益最大化为原则尽快使</w:t>
            </w:r>
            <w:r w:rsidRPr="008740B2">
              <w:rPr>
                <w:rFonts w:ascii="楷体" w:eastAsia="楷体" w:hAnsi="楷体" w:cs="宋体" w:hint="eastAsia"/>
                <w:color w:val="000000"/>
                <w:kern w:val="0"/>
                <w:sz w:val="24"/>
                <w:szCs w:val="24"/>
              </w:rPr>
              <w:lastRenderedPageBreak/>
              <w:t>投资比例恢复至上述规定区间）。</w:t>
            </w:r>
          </w:p>
        </w:tc>
      </w:tr>
      <w:tr w:rsidR="008740B2" w:rsidRPr="008740B2" w:rsidTr="008740B2">
        <w:trPr>
          <w:trHeight w:val="60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proofErr w:type="gramStart"/>
            <w:r w:rsidRPr="008740B2">
              <w:rPr>
                <w:rFonts w:ascii="楷体" w:eastAsia="楷体" w:hAnsi="楷体" w:cs="宋体" w:hint="eastAsia"/>
                <w:color w:val="000000"/>
                <w:kern w:val="0"/>
                <w:sz w:val="24"/>
                <w:szCs w:val="24"/>
              </w:rPr>
              <w:lastRenderedPageBreak/>
              <w:t>参考年化收益率</w:t>
            </w:r>
            <w:proofErr w:type="gramEnd"/>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4%；</w:t>
            </w:r>
          </w:p>
        </w:tc>
      </w:tr>
      <w:tr w:rsidR="008740B2" w:rsidRPr="008740B2" w:rsidTr="008740B2">
        <w:trPr>
          <w:trHeight w:val="211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收益率测算</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本产品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w:t>
            </w:r>
            <w:proofErr w:type="gramStart"/>
            <w:r w:rsidRPr="008740B2">
              <w:rPr>
                <w:rFonts w:ascii="楷体" w:eastAsia="楷体" w:hAnsi="楷体" w:cs="宋体" w:hint="eastAsia"/>
                <w:color w:val="000000"/>
                <w:kern w:val="0"/>
                <w:sz w:val="24"/>
                <w:szCs w:val="24"/>
              </w:rPr>
              <w:t>最高年化收益率</w:t>
            </w:r>
            <w:proofErr w:type="gramEnd"/>
            <w:r w:rsidRPr="008740B2">
              <w:rPr>
                <w:rFonts w:ascii="楷体" w:eastAsia="楷体" w:hAnsi="楷体" w:cs="宋体" w:hint="eastAsia"/>
                <w:color w:val="000000"/>
                <w:kern w:val="0"/>
                <w:sz w:val="24"/>
                <w:szCs w:val="24"/>
              </w:rPr>
              <w:t>，超过部分作为银行投资管理费用。</w:t>
            </w:r>
          </w:p>
        </w:tc>
      </w:tr>
      <w:tr w:rsidR="008740B2" w:rsidRPr="008740B2" w:rsidTr="008740B2">
        <w:trPr>
          <w:trHeight w:val="810"/>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认购起点金额</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个人客户5万元起，以1万元整数</w:t>
            </w:r>
            <w:proofErr w:type="gramStart"/>
            <w:r w:rsidRPr="008740B2">
              <w:rPr>
                <w:rFonts w:ascii="楷体" w:eastAsia="楷体" w:hAnsi="楷体" w:cs="宋体" w:hint="eastAsia"/>
                <w:color w:val="000000"/>
                <w:kern w:val="0"/>
                <w:sz w:val="24"/>
                <w:szCs w:val="24"/>
              </w:rPr>
              <w:t>倍</w:t>
            </w:r>
            <w:proofErr w:type="gramEnd"/>
            <w:r w:rsidRPr="008740B2">
              <w:rPr>
                <w:rFonts w:ascii="楷体" w:eastAsia="楷体" w:hAnsi="楷体" w:cs="宋体" w:hint="eastAsia"/>
                <w:color w:val="000000"/>
                <w:kern w:val="0"/>
                <w:sz w:val="24"/>
                <w:szCs w:val="24"/>
              </w:rPr>
              <w:t>递增，个人认购金额最高不超过3000万元；</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收益计算方法</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期末收益＝投资本金×实际收益率×实际理财天数/365</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提前终止权</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客户无权提前终止该产品</w:t>
            </w:r>
          </w:p>
        </w:tc>
      </w:tr>
      <w:tr w:rsidR="008740B2" w:rsidRPr="008740B2" w:rsidTr="008740B2">
        <w:trPr>
          <w:trHeight w:val="285"/>
        </w:trPr>
        <w:tc>
          <w:tcPr>
            <w:tcW w:w="22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税务处理</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我行不代扣代缴，但法律、法规另有规定除外</w:t>
            </w:r>
          </w:p>
        </w:tc>
      </w:tr>
      <w:tr w:rsidR="008740B2" w:rsidRPr="008740B2" w:rsidTr="008740B2">
        <w:trPr>
          <w:trHeight w:val="285"/>
        </w:trPr>
        <w:tc>
          <w:tcPr>
            <w:tcW w:w="22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其他规定</w:t>
            </w: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1、到期日至到账日之间，客户资金不计利息</w:t>
            </w:r>
          </w:p>
        </w:tc>
      </w:tr>
      <w:tr w:rsidR="008740B2" w:rsidRPr="008740B2" w:rsidTr="008740B2">
        <w:trPr>
          <w:trHeight w:val="1005"/>
        </w:trPr>
        <w:tc>
          <w:tcPr>
            <w:tcW w:w="2280" w:type="dxa"/>
            <w:vMerge/>
            <w:tcBorders>
              <w:top w:val="single" w:sz="4" w:space="0" w:color="auto"/>
              <w:left w:val="single" w:sz="4" w:space="0" w:color="auto"/>
              <w:bottom w:val="single" w:sz="4" w:space="0" w:color="000000"/>
              <w:right w:val="single" w:sz="4" w:space="0" w:color="000000"/>
            </w:tcBorders>
            <w:vAlign w:val="center"/>
            <w:hideMark/>
          </w:tcPr>
          <w:p w:rsidR="008740B2" w:rsidRPr="008740B2" w:rsidRDefault="008740B2" w:rsidP="008740B2">
            <w:pPr>
              <w:widowControl/>
              <w:jc w:val="left"/>
              <w:rPr>
                <w:rFonts w:ascii="楷体" w:eastAsia="楷体" w:hAnsi="楷体" w:cs="宋体"/>
                <w:color w:val="000000"/>
                <w:kern w:val="0"/>
                <w:sz w:val="24"/>
                <w:szCs w:val="24"/>
              </w:rPr>
            </w:pPr>
          </w:p>
        </w:tc>
        <w:tc>
          <w:tcPr>
            <w:tcW w:w="6220" w:type="dxa"/>
            <w:tcBorders>
              <w:top w:val="single" w:sz="4" w:space="0" w:color="auto"/>
              <w:left w:val="nil"/>
              <w:bottom w:val="single" w:sz="4" w:space="0" w:color="auto"/>
              <w:right w:val="single" w:sz="4" w:space="0" w:color="000000"/>
            </w:tcBorders>
            <w:shd w:val="clear" w:color="auto" w:fill="auto"/>
            <w:vAlign w:val="center"/>
            <w:hideMark/>
          </w:tcPr>
          <w:p w:rsidR="008740B2" w:rsidRPr="008740B2" w:rsidRDefault="008740B2"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2、投资者签署《广东南粤银行理财产品客户协议书》后，即视为投资者同意广东南粤银行有权在认购日从投资者账户中冻结其签约本金，募集期间冻结资金按同期活期利率计算利息。</w:t>
            </w:r>
          </w:p>
        </w:tc>
      </w:tr>
    </w:tbl>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三、产品属性</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（一）理财本金与收益测算</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本理财计划为保本浮动收益型，到期</w:t>
      </w:r>
      <w:proofErr w:type="gramStart"/>
      <w:r w:rsidRPr="008740B2">
        <w:rPr>
          <w:rFonts w:ascii="楷体" w:eastAsia="楷体" w:hAnsi="楷体" w:cs="宋体" w:hint="eastAsia"/>
          <w:color w:val="000000"/>
          <w:kern w:val="0"/>
          <w:sz w:val="24"/>
          <w:szCs w:val="24"/>
        </w:rPr>
        <w:t>参考年化收益率</w:t>
      </w:r>
      <w:proofErr w:type="gramEnd"/>
      <w:r w:rsidRPr="008740B2">
        <w:rPr>
          <w:rFonts w:ascii="楷体" w:eastAsia="楷体" w:hAnsi="楷体" w:cs="宋体" w:hint="eastAsia"/>
          <w:color w:val="000000"/>
          <w:kern w:val="0"/>
          <w:sz w:val="24"/>
          <w:szCs w:val="24"/>
        </w:rPr>
        <w:t>为4%。广东南粤银行保证客户本金不受损失，但不对本理财产品做任何收益承诺。</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1、理财计划本金与收益率测算</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（1）收益测算公式：</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本产品收益＝投资收益—投资相关成本</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理财产品到期支付款项=理财产品本金+本产品收益</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（2）收益测算说明：</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以上收益测算是基于数据引用期间的金融市场相关报价，并不是理财计划的最终收益率。</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投资者到期收到款项按四舍五入法保留两位小数。</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2、投资者所得收益说明:</w:t>
      </w:r>
      <w:r w:rsidRPr="008740B2">
        <w:rPr>
          <w:rFonts w:ascii="楷体" w:eastAsia="楷体" w:hAnsi="楷体" w:cs="宋体" w:hint="eastAsia"/>
          <w:color w:val="FF0000"/>
          <w:kern w:val="0"/>
          <w:sz w:val="24"/>
          <w:szCs w:val="24"/>
        </w:rPr>
        <w:t xml:space="preserve"> </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（1）</w:t>
      </w:r>
      <w:r w:rsidRPr="008740B2">
        <w:rPr>
          <w:rFonts w:ascii="楷体" w:eastAsia="楷体" w:hAnsi="楷体" w:cs="宋体" w:hint="eastAsia"/>
          <w:kern w:val="0"/>
          <w:sz w:val="24"/>
          <w:szCs w:val="24"/>
        </w:rPr>
        <w:t>当理财计划实现</w:t>
      </w:r>
      <w:proofErr w:type="gramStart"/>
      <w:r w:rsidRPr="008740B2">
        <w:rPr>
          <w:rFonts w:ascii="楷体" w:eastAsia="楷体" w:hAnsi="楷体" w:cs="宋体" w:hint="eastAsia"/>
          <w:kern w:val="0"/>
          <w:sz w:val="24"/>
          <w:szCs w:val="24"/>
        </w:rPr>
        <w:t>的年化收益率</w:t>
      </w:r>
      <w:proofErr w:type="gramEnd"/>
      <w:r w:rsidRPr="008740B2">
        <w:rPr>
          <w:rFonts w:ascii="楷体" w:eastAsia="楷体" w:hAnsi="楷体" w:cs="宋体" w:hint="eastAsia"/>
          <w:kern w:val="0"/>
          <w:sz w:val="24"/>
          <w:szCs w:val="24"/>
        </w:rPr>
        <w:t>超出</w:t>
      </w:r>
      <w:proofErr w:type="gramStart"/>
      <w:r w:rsidRPr="008740B2">
        <w:rPr>
          <w:rFonts w:ascii="楷体" w:eastAsia="楷体" w:hAnsi="楷体" w:cs="宋体" w:hint="eastAsia"/>
          <w:kern w:val="0"/>
          <w:sz w:val="24"/>
          <w:szCs w:val="24"/>
        </w:rPr>
        <w:t>参考年化收益率</w:t>
      </w:r>
      <w:proofErr w:type="gramEnd"/>
      <w:r w:rsidRPr="008740B2">
        <w:rPr>
          <w:rFonts w:ascii="楷体" w:eastAsia="楷体" w:hAnsi="楷体" w:cs="宋体" w:hint="eastAsia"/>
          <w:kern w:val="0"/>
          <w:sz w:val="24"/>
          <w:szCs w:val="24"/>
        </w:rPr>
        <w:t>时，投资者只能获得本说明书中注明的对应档次</w:t>
      </w:r>
      <w:proofErr w:type="gramStart"/>
      <w:r w:rsidRPr="008740B2">
        <w:rPr>
          <w:rFonts w:ascii="楷体" w:eastAsia="楷体" w:hAnsi="楷体" w:cs="宋体" w:hint="eastAsia"/>
          <w:kern w:val="0"/>
          <w:sz w:val="24"/>
          <w:szCs w:val="24"/>
        </w:rPr>
        <w:t>参考年化收益率</w:t>
      </w:r>
      <w:proofErr w:type="gramEnd"/>
      <w:r w:rsidRPr="008740B2">
        <w:rPr>
          <w:rFonts w:ascii="楷体" w:eastAsia="楷体" w:hAnsi="楷体" w:cs="宋体" w:hint="eastAsia"/>
          <w:kern w:val="0"/>
          <w:sz w:val="24"/>
          <w:szCs w:val="24"/>
        </w:rPr>
        <w:t>，超出部分作为广东南粤银行管理费；若小于本说明书中的对应档次的</w:t>
      </w:r>
      <w:proofErr w:type="gramStart"/>
      <w:r w:rsidRPr="008740B2">
        <w:rPr>
          <w:rFonts w:ascii="楷体" w:eastAsia="楷体" w:hAnsi="楷体" w:cs="宋体" w:hint="eastAsia"/>
          <w:kern w:val="0"/>
          <w:sz w:val="24"/>
          <w:szCs w:val="24"/>
        </w:rPr>
        <w:t>参考年化收益率</w:t>
      </w:r>
      <w:proofErr w:type="gramEnd"/>
      <w:r w:rsidRPr="008740B2">
        <w:rPr>
          <w:rFonts w:ascii="楷体" w:eastAsia="楷体" w:hAnsi="楷体" w:cs="宋体" w:hint="eastAsia"/>
          <w:kern w:val="0"/>
          <w:sz w:val="24"/>
          <w:szCs w:val="24"/>
        </w:rPr>
        <w:t>，投资者到</w:t>
      </w:r>
      <w:proofErr w:type="gramStart"/>
      <w:r w:rsidRPr="008740B2">
        <w:rPr>
          <w:rFonts w:ascii="楷体" w:eastAsia="楷体" w:hAnsi="楷体" w:cs="宋体" w:hint="eastAsia"/>
          <w:kern w:val="0"/>
          <w:sz w:val="24"/>
          <w:szCs w:val="24"/>
        </w:rPr>
        <w:t>期年化</w:t>
      </w:r>
      <w:proofErr w:type="gramEnd"/>
      <w:r w:rsidRPr="008740B2">
        <w:rPr>
          <w:rFonts w:ascii="楷体" w:eastAsia="楷体" w:hAnsi="楷体" w:cs="宋体" w:hint="eastAsia"/>
          <w:kern w:val="0"/>
          <w:sz w:val="24"/>
          <w:szCs w:val="24"/>
        </w:rPr>
        <w:t>收益率则根据资产实际回收情况计算。</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计算公式：</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投资者理财收益=理财本金×投资者到</w:t>
      </w:r>
      <w:proofErr w:type="gramStart"/>
      <w:r w:rsidRPr="008740B2">
        <w:rPr>
          <w:rFonts w:ascii="楷体" w:eastAsia="楷体" w:hAnsi="楷体" w:cs="宋体" w:hint="eastAsia"/>
          <w:color w:val="000000"/>
          <w:kern w:val="0"/>
          <w:sz w:val="24"/>
          <w:szCs w:val="24"/>
        </w:rPr>
        <w:t>期年化</w:t>
      </w:r>
      <w:proofErr w:type="gramEnd"/>
      <w:r w:rsidRPr="008740B2">
        <w:rPr>
          <w:rFonts w:ascii="楷体" w:eastAsia="楷体" w:hAnsi="楷体" w:cs="宋体" w:hint="eastAsia"/>
          <w:color w:val="000000"/>
          <w:kern w:val="0"/>
          <w:sz w:val="24"/>
          <w:szCs w:val="24"/>
        </w:rPr>
        <w:t>收益率×实际理财天数/365</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（2）计算示例： </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假设客户理财本金为50,000元，对应档次的预期最高</w:t>
      </w:r>
      <w:proofErr w:type="gramStart"/>
      <w:r w:rsidRPr="008740B2">
        <w:rPr>
          <w:rFonts w:ascii="楷体" w:eastAsia="楷体" w:hAnsi="楷体" w:cs="宋体" w:hint="eastAsia"/>
          <w:color w:val="000000"/>
          <w:kern w:val="0"/>
          <w:sz w:val="24"/>
          <w:szCs w:val="24"/>
        </w:rPr>
        <w:t>年化参考</w:t>
      </w:r>
      <w:proofErr w:type="gramEnd"/>
      <w:r w:rsidRPr="008740B2">
        <w:rPr>
          <w:rFonts w:ascii="楷体" w:eastAsia="楷体" w:hAnsi="楷体" w:cs="宋体" w:hint="eastAsia"/>
          <w:color w:val="000000"/>
          <w:kern w:val="0"/>
          <w:sz w:val="24"/>
          <w:szCs w:val="24"/>
        </w:rPr>
        <w:t>收益率为4%，实际理财天数35天，</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A:若客户理财产品到期实现</w:t>
      </w:r>
      <w:proofErr w:type="gramStart"/>
      <w:r w:rsidRPr="008740B2">
        <w:rPr>
          <w:rFonts w:ascii="楷体" w:eastAsia="楷体" w:hAnsi="楷体" w:cs="宋体" w:hint="eastAsia"/>
          <w:color w:val="000000"/>
          <w:kern w:val="0"/>
          <w:sz w:val="24"/>
          <w:szCs w:val="24"/>
        </w:rPr>
        <w:t>的年化收益率</w:t>
      </w:r>
      <w:proofErr w:type="gramEnd"/>
      <w:r w:rsidRPr="008740B2">
        <w:rPr>
          <w:rFonts w:ascii="楷体" w:eastAsia="楷体" w:hAnsi="楷体" w:cs="宋体" w:hint="eastAsia"/>
          <w:color w:val="000000"/>
          <w:kern w:val="0"/>
          <w:sz w:val="24"/>
          <w:szCs w:val="24"/>
        </w:rPr>
        <w:t>为4.1%，则投资者的理财收益为：</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lastRenderedPageBreak/>
        <w:t xml:space="preserve">    投资者的理财收益=50,000×4%×35/365= 191.78元</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B:若客户理财产品到期实现</w:t>
      </w:r>
      <w:proofErr w:type="gramStart"/>
      <w:r w:rsidRPr="008740B2">
        <w:rPr>
          <w:rFonts w:ascii="楷体" w:eastAsia="楷体" w:hAnsi="楷体" w:cs="宋体" w:hint="eastAsia"/>
          <w:color w:val="000000"/>
          <w:kern w:val="0"/>
          <w:sz w:val="24"/>
          <w:szCs w:val="24"/>
        </w:rPr>
        <w:t>的年化收益率</w:t>
      </w:r>
      <w:proofErr w:type="gramEnd"/>
      <w:r w:rsidRPr="008740B2">
        <w:rPr>
          <w:rFonts w:ascii="楷体" w:eastAsia="楷体" w:hAnsi="楷体" w:cs="宋体" w:hint="eastAsia"/>
          <w:color w:val="000000"/>
          <w:kern w:val="0"/>
          <w:sz w:val="24"/>
          <w:szCs w:val="24"/>
        </w:rPr>
        <w:t>为3.9%，则投资者的理财收益为：</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投资者的理财收益=50,000×3.9%×35/365= 186.99元</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（上述示例数据均采用假设数据计算，测算收益不等于实际收益，投资须谨慎）</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（二）</w:t>
      </w:r>
      <w:r w:rsidRPr="008740B2">
        <w:rPr>
          <w:rFonts w:ascii="楷体" w:eastAsia="楷体" w:hAnsi="楷体" w:cs="宋体" w:hint="eastAsia"/>
          <w:b/>
          <w:bCs/>
          <w:color w:val="000000"/>
          <w:kern w:val="0"/>
          <w:sz w:val="24"/>
          <w:szCs w:val="24"/>
        </w:rPr>
        <w:t>提前终止及到期清算</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1、提前终止：本理财计划存续期内，投资者无提前终止权，不得提前赎回，广东南粤银行可提前终止本理财计划。在本理财计划销售期间，若</w:t>
      </w:r>
      <w:proofErr w:type="gramStart"/>
      <w:r w:rsidRPr="008740B2">
        <w:rPr>
          <w:rFonts w:ascii="楷体" w:eastAsia="楷体" w:hAnsi="楷体" w:cs="宋体" w:hint="eastAsia"/>
          <w:color w:val="000000"/>
          <w:kern w:val="0"/>
          <w:sz w:val="24"/>
          <w:szCs w:val="24"/>
        </w:rPr>
        <w:t>遇政策</w:t>
      </w:r>
      <w:proofErr w:type="gramEnd"/>
      <w:r w:rsidRPr="008740B2">
        <w:rPr>
          <w:rFonts w:ascii="楷体" w:eastAsia="楷体" w:hAnsi="楷体" w:cs="宋体" w:hint="eastAsia"/>
          <w:color w:val="000000"/>
          <w:kern w:val="0"/>
          <w:sz w:val="24"/>
          <w:szCs w:val="24"/>
        </w:rPr>
        <w:t>调整、市场变化致使预期收益率无法达到的情况下，广东南粤银行有权停止销售并退还本金，期间认购资金按同期活期利率计算利息。</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2、到期清算日：2015年10月28日至2015年10月29日期间，逢假期顺延。适用假期：中国公众假期。清算期</w:t>
      </w:r>
      <w:proofErr w:type="gramStart"/>
      <w:r w:rsidRPr="008740B2">
        <w:rPr>
          <w:rFonts w:ascii="楷体" w:eastAsia="楷体" w:hAnsi="楷体" w:cs="宋体" w:hint="eastAsia"/>
          <w:color w:val="000000"/>
          <w:kern w:val="0"/>
          <w:sz w:val="24"/>
          <w:szCs w:val="24"/>
        </w:rPr>
        <w:t>内本理财</w:t>
      </w:r>
      <w:proofErr w:type="gramEnd"/>
      <w:r w:rsidRPr="008740B2">
        <w:rPr>
          <w:rFonts w:ascii="楷体" w:eastAsia="楷体" w:hAnsi="楷体" w:cs="宋体" w:hint="eastAsia"/>
          <w:color w:val="000000"/>
          <w:kern w:val="0"/>
          <w:sz w:val="24"/>
          <w:szCs w:val="24"/>
        </w:rPr>
        <w:t>计划不计息。</w:t>
      </w:r>
    </w:p>
    <w:p w:rsidR="002B6411" w:rsidRPr="008740B2" w:rsidRDefault="002B6411" w:rsidP="008740B2">
      <w:pPr>
        <w:widowControl/>
        <w:jc w:val="left"/>
        <w:rPr>
          <w:rFonts w:ascii="楷体" w:eastAsia="楷体" w:hAnsi="楷体" w:cs="宋体"/>
          <w:color w:val="000000"/>
          <w:kern w:val="0"/>
          <w:sz w:val="24"/>
          <w:szCs w:val="24"/>
        </w:rPr>
      </w:pP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四、信息披露及投诉方式</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1、信息披露：广东南粤银行不单独为投资者提供本理财计划的有关资产变动、收入和费用、期末资产估值等情况的账单。广东南粤银行在到期日前1天内公布本理财计划的相关信息，投资者可到广东南粤银行各营业网点或致电广东南粤银行客户服务热线（4000－961818）或登陆广东南粤银行网站: http://www.gdnybank.com进行查询。</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2、如本理财计划发生提前终止，广东南粤银行将于实际终止清算日的前1个工作日在各营业网点发布相关信息公告。</w:t>
      </w:r>
    </w:p>
    <w:p w:rsidR="002B6411" w:rsidRPr="008740B2" w:rsidRDefault="002B6411" w:rsidP="008740B2">
      <w:pPr>
        <w:widowControl/>
        <w:jc w:val="lef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 xml:space="preserve">    3、投资者对本理财计划有任何异议或意见，可联系广东南粤银行各营业网点或致电广东南粤银行统一客户服务热线（4000－961818）。</w:t>
      </w:r>
    </w:p>
    <w:p w:rsidR="002B6411" w:rsidRPr="008740B2" w:rsidRDefault="002B6411" w:rsidP="008740B2">
      <w:pPr>
        <w:widowControl/>
        <w:jc w:val="left"/>
        <w:rPr>
          <w:rFonts w:ascii="楷体" w:eastAsia="楷体" w:hAnsi="楷体" w:cs="宋体"/>
          <w:color w:val="000000"/>
          <w:kern w:val="0"/>
          <w:sz w:val="24"/>
          <w:szCs w:val="24"/>
        </w:rPr>
      </w:pPr>
    </w:p>
    <w:p w:rsidR="002B6411" w:rsidRPr="008740B2" w:rsidRDefault="002B6411" w:rsidP="008740B2">
      <w:pPr>
        <w:widowControl/>
        <w:jc w:val="right"/>
        <w:rPr>
          <w:rFonts w:ascii="楷体" w:eastAsia="楷体" w:hAnsi="楷体" w:cs="宋体"/>
          <w:color w:val="000000"/>
          <w:kern w:val="0"/>
          <w:sz w:val="24"/>
          <w:szCs w:val="24"/>
        </w:rPr>
      </w:pPr>
      <w:r w:rsidRPr="008740B2">
        <w:rPr>
          <w:rFonts w:ascii="楷体" w:eastAsia="楷体" w:hAnsi="楷体" w:cs="宋体" w:hint="eastAsia"/>
          <w:color w:val="000000"/>
          <w:kern w:val="0"/>
          <w:sz w:val="24"/>
          <w:szCs w:val="24"/>
        </w:rPr>
        <w:t>广东南粤银行股份有限公司</w:t>
      </w:r>
    </w:p>
    <w:p w:rsidR="00472756" w:rsidRPr="008740B2" w:rsidRDefault="00472756" w:rsidP="008740B2"/>
    <w:sectPr w:rsidR="00472756" w:rsidRPr="008740B2" w:rsidSect="009025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963" w:rsidRDefault="00854963" w:rsidP="00FD5158">
      <w:r>
        <w:separator/>
      </w:r>
    </w:p>
  </w:endnote>
  <w:endnote w:type="continuationSeparator" w:id="0">
    <w:p w:rsidR="00854963" w:rsidRDefault="00854963" w:rsidP="00FD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575073"/>
      <w:docPartObj>
        <w:docPartGallery w:val="Page Numbers (Bottom of Page)"/>
        <w:docPartUnique/>
      </w:docPartObj>
    </w:sdtPr>
    <w:sdtContent>
      <w:p w:rsidR="00FD5158" w:rsidRDefault="00FD5158">
        <w:pPr>
          <w:pStyle w:val="a4"/>
          <w:jc w:val="center"/>
        </w:pPr>
        <w:r>
          <w:fldChar w:fldCharType="begin"/>
        </w:r>
        <w:r>
          <w:instrText>PAGE   \* MERGEFORMAT</w:instrText>
        </w:r>
        <w:r>
          <w:fldChar w:fldCharType="separate"/>
        </w:r>
        <w:r w:rsidR="002B6411" w:rsidRPr="002B6411">
          <w:rPr>
            <w:noProof/>
            <w:lang w:val="zh-CN"/>
          </w:rPr>
          <w:t>4</w:t>
        </w:r>
        <w:r>
          <w:fldChar w:fldCharType="end"/>
        </w:r>
      </w:p>
    </w:sdtContent>
  </w:sdt>
  <w:p w:rsidR="00FD5158" w:rsidRDefault="00FD51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963" w:rsidRDefault="00854963" w:rsidP="00FD5158">
      <w:r>
        <w:separator/>
      </w:r>
    </w:p>
  </w:footnote>
  <w:footnote w:type="continuationSeparator" w:id="0">
    <w:p w:rsidR="00854963" w:rsidRDefault="00854963" w:rsidP="00FD5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58"/>
    <w:rsid w:val="00087FC3"/>
    <w:rsid w:val="000B3591"/>
    <w:rsid w:val="00115FBA"/>
    <w:rsid w:val="00196C71"/>
    <w:rsid w:val="001C7EEB"/>
    <w:rsid w:val="002813C0"/>
    <w:rsid w:val="002B6411"/>
    <w:rsid w:val="00451C79"/>
    <w:rsid w:val="00472756"/>
    <w:rsid w:val="005B19EF"/>
    <w:rsid w:val="005E365C"/>
    <w:rsid w:val="005E4CC8"/>
    <w:rsid w:val="0062403C"/>
    <w:rsid w:val="00682190"/>
    <w:rsid w:val="0068247D"/>
    <w:rsid w:val="006E2C2E"/>
    <w:rsid w:val="00707456"/>
    <w:rsid w:val="00726BEC"/>
    <w:rsid w:val="007528C1"/>
    <w:rsid w:val="00854963"/>
    <w:rsid w:val="008740B2"/>
    <w:rsid w:val="00902538"/>
    <w:rsid w:val="00A054AF"/>
    <w:rsid w:val="00B53C63"/>
    <w:rsid w:val="00C65D2F"/>
    <w:rsid w:val="00CC0E7D"/>
    <w:rsid w:val="00D03C0C"/>
    <w:rsid w:val="00D576CF"/>
    <w:rsid w:val="00D74EF2"/>
    <w:rsid w:val="00D974CA"/>
    <w:rsid w:val="00DF6572"/>
    <w:rsid w:val="00E00F35"/>
    <w:rsid w:val="00E8620B"/>
    <w:rsid w:val="00EA7F96"/>
    <w:rsid w:val="00FD5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5158"/>
    <w:rPr>
      <w:sz w:val="18"/>
      <w:szCs w:val="18"/>
    </w:rPr>
  </w:style>
  <w:style w:type="paragraph" w:styleId="a4">
    <w:name w:val="footer"/>
    <w:basedOn w:val="a"/>
    <w:link w:val="Char0"/>
    <w:uiPriority w:val="99"/>
    <w:unhideWhenUsed/>
    <w:rsid w:val="00FD5158"/>
    <w:pPr>
      <w:tabs>
        <w:tab w:val="center" w:pos="4153"/>
        <w:tab w:val="right" w:pos="8306"/>
      </w:tabs>
      <w:snapToGrid w:val="0"/>
      <w:jc w:val="left"/>
    </w:pPr>
    <w:rPr>
      <w:sz w:val="18"/>
      <w:szCs w:val="18"/>
    </w:rPr>
  </w:style>
  <w:style w:type="character" w:customStyle="1" w:styleId="Char0">
    <w:name w:val="页脚 Char"/>
    <w:basedOn w:val="a0"/>
    <w:link w:val="a4"/>
    <w:uiPriority w:val="99"/>
    <w:rsid w:val="00FD51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5158"/>
    <w:rPr>
      <w:sz w:val="18"/>
      <w:szCs w:val="18"/>
    </w:rPr>
  </w:style>
  <w:style w:type="paragraph" w:styleId="a4">
    <w:name w:val="footer"/>
    <w:basedOn w:val="a"/>
    <w:link w:val="Char0"/>
    <w:uiPriority w:val="99"/>
    <w:unhideWhenUsed/>
    <w:rsid w:val="00FD5158"/>
    <w:pPr>
      <w:tabs>
        <w:tab w:val="center" w:pos="4153"/>
        <w:tab w:val="right" w:pos="8306"/>
      </w:tabs>
      <w:snapToGrid w:val="0"/>
      <w:jc w:val="left"/>
    </w:pPr>
    <w:rPr>
      <w:sz w:val="18"/>
      <w:szCs w:val="18"/>
    </w:rPr>
  </w:style>
  <w:style w:type="character" w:customStyle="1" w:styleId="Char0">
    <w:name w:val="页脚 Char"/>
    <w:basedOn w:val="a0"/>
    <w:link w:val="a4"/>
    <w:uiPriority w:val="99"/>
    <w:rsid w:val="00FD51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055">
      <w:bodyDiv w:val="1"/>
      <w:marLeft w:val="0"/>
      <w:marRight w:val="0"/>
      <w:marTop w:val="0"/>
      <w:marBottom w:val="0"/>
      <w:divBdr>
        <w:top w:val="none" w:sz="0" w:space="0" w:color="auto"/>
        <w:left w:val="none" w:sz="0" w:space="0" w:color="auto"/>
        <w:bottom w:val="none" w:sz="0" w:space="0" w:color="auto"/>
        <w:right w:val="none" w:sz="0" w:space="0" w:color="auto"/>
      </w:divBdr>
    </w:div>
    <w:div w:id="333151500">
      <w:bodyDiv w:val="1"/>
      <w:marLeft w:val="0"/>
      <w:marRight w:val="0"/>
      <w:marTop w:val="0"/>
      <w:marBottom w:val="0"/>
      <w:divBdr>
        <w:top w:val="none" w:sz="0" w:space="0" w:color="auto"/>
        <w:left w:val="none" w:sz="0" w:space="0" w:color="auto"/>
        <w:bottom w:val="none" w:sz="0" w:space="0" w:color="auto"/>
        <w:right w:val="none" w:sz="0" w:space="0" w:color="auto"/>
      </w:divBdr>
    </w:div>
    <w:div w:id="1648320614">
      <w:bodyDiv w:val="1"/>
      <w:marLeft w:val="0"/>
      <w:marRight w:val="0"/>
      <w:marTop w:val="0"/>
      <w:marBottom w:val="0"/>
      <w:divBdr>
        <w:top w:val="none" w:sz="0" w:space="0" w:color="auto"/>
        <w:left w:val="none" w:sz="0" w:space="0" w:color="auto"/>
        <w:bottom w:val="none" w:sz="0" w:space="0" w:color="auto"/>
        <w:right w:val="none" w:sz="0" w:space="0" w:color="auto"/>
      </w:divBdr>
    </w:div>
    <w:div w:id="1971592086">
      <w:bodyDiv w:val="1"/>
      <w:marLeft w:val="0"/>
      <w:marRight w:val="0"/>
      <w:marTop w:val="0"/>
      <w:marBottom w:val="0"/>
      <w:divBdr>
        <w:top w:val="none" w:sz="0" w:space="0" w:color="auto"/>
        <w:left w:val="none" w:sz="0" w:space="0" w:color="auto"/>
        <w:bottom w:val="none" w:sz="0" w:space="0" w:color="auto"/>
        <w:right w:val="none" w:sz="0" w:space="0" w:color="auto"/>
      </w:divBdr>
    </w:div>
    <w:div w:id="20149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576</Words>
  <Characters>3289</Characters>
  <Application>Microsoft Office Word</Application>
  <DocSecurity>0</DocSecurity>
  <Lines>27</Lines>
  <Paragraphs>7</Paragraphs>
  <ScaleCrop>false</ScaleCrop>
  <Company>china</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2015-09-15T01:55:00Z</dcterms:created>
  <dcterms:modified xsi:type="dcterms:W3CDTF">2015-09-15T01:57:00Z</dcterms:modified>
</cp:coreProperties>
</file>