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A2A" w:rsidRPr="00A85A2A" w:rsidRDefault="00A85A2A" w:rsidP="00A85A2A">
      <w:pPr>
        <w:widowControl/>
        <w:jc w:val="center"/>
        <w:rPr>
          <w:rFonts w:ascii="Courier New" w:eastAsia="宋体" w:hAnsi="Courier New" w:cs="宋体"/>
          <w:b/>
          <w:bCs/>
          <w:kern w:val="0"/>
          <w:sz w:val="36"/>
          <w:szCs w:val="36"/>
        </w:rPr>
      </w:pPr>
      <w:r w:rsidRPr="00A85A2A">
        <w:rPr>
          <w:rFonts w:ascii="Courier New" w:eastAsia="宋体" w:hAnsi="Courier New" w:cs="宋体"/>
          <w:b/>
          <w:bCs/>
          <w:kern w:val="0"/>
          <w:sz w:val="36"/>
          <w:szCs w:val="36"/>
        </w:rPr>
        <w:t>“</w:t>
      </w:r>
      <w:r w:rsidRPr="00A85A2A">
        <w:rPr>
          <w:rFonts w:ascii="Courier New" w:eastAsia="宋体" w:hAnsi="Courier New" w:cs="宋体"/>
          <w:b/>
          <w:bCs/>
          <w:kern w:val="0"/>
          <w:sz w:val="36"/>
          <w:szCs w:val="36"/>
        </w:rPr>
        <w:t>宝盈理财</w:t>
      </w:r>
      <w:r w:rsidRPr="00A85A2A">
        <w:rPr>
          <w:rFonts w:ascii="Courier New" w:eastAsia="宋体" w:hAnsi="Courier New" w:cs="宋体"/>
          <w:b/>
          <w:bCs/>
          <w:kern w:val="0"/>
          <w:sz w:val="36"/>
          <w:szCs w:val="36"/>
        </w:rPr>
        <w:t>”</w:t>
      </w:r>
      <w:r w:rsidRPr="00A85A2A">
        <w:rPr>
          <w:rFonts w:ascii="Courier New" w:eastAsia="宋体" w:hAnsi="Courier New" w:cs="宋体"/>
          <w:b/>
          <w:bCs/>
          <w:kern w:val="0"/>
          <w:sz w:val="36"/>
          <w:szCs w:val="36"/>
        </w:rPr>
        <w:t>如意</w:t>
      </w:r>
      <w:r w:rsidRPr="00A85A2A">
        <w:rPr>
          <w:rFonts w:ascii="Courier New" w:eastAsia="宋体" w:hAnsi="Courier New" w:cs="宋体"/>
          <w:b/>
          <w:bCs/>
          <w:kern w:val="0"/>
          <w:sz w:val="36"/>
          <w:szCs w:val="36"/>
        </w:rPr>
        <w:t>2015M01A07</w:t>
      </w:r>
      <w:r w:rsidRPr="00A85A2A">
        <w:rPr>
          <w:rFonts w:ascii="Courier New" w:eastAsia="宋体" w:hAnsi="Courier New" w:cs="宋体"/>
          <w:b/>
          <w:bCs/>
          <w:kern w:val="0"/>
          <w:sz w:val="36"/>
          <w:szCs w:val="36"/>
        </w:rPr>
        <w:t>号滚动型人民币</w:t>
      </w:r>
      <w:r w:rsidRPr="00A85A2A">
        <w:rPr>
          <w:rFonts w:ascii="Courier New" w:eastAsia="宋体" w:hAnsi="Courier New" w:cs="宋体"/>
          <w:b/>
          <w:bCs/>
          <w:kern w:val="0"/>
          <w:sz w:val="36"/>
          <w:szCs w:val="36"/>
        </w:rPr>
        <w:br/>
      </w:r>
      <w:r w:rsidRPr="00A85A2A">
        <w:rPr>
          <w:rFonts w:ascii="Courier New" w:eastAsia="宋体" w:hAnsi="Courier New" w:cs="宋体"/>
          <w:b/>
          <w:bCs/>
          <w:kern w:val="0"/>
          <w:sz w:val="36"/>
          <w:szCs w:val="36"/>
        </w:rPr>
        <w:t>理财产品说明书</w:t>
      </w:r>
    </w:p>
    <w:p w:rsidR="00A85A2A" w:rsidRPr="00A85A2A" w:rsidRDefault="00A85A2A" w:rsidP="00A85A2A">
      <w:pPr>
        <w:widowControl/>
        <w:jc w:val="left"/>
        <w:rPr>
          <w:rFonts w:ascii="Courier New" w:eastAsia="宋体" w:hAnsi="Courier New" w:cs="宋体"/>
          <w:b/>
          <w:bCs/>
          <w:color w:val="000000"/>
          <w:kern w:val="0"/>
          <w:sz w:val="24"/>
          <w:szCs w:val="24"/>
        </w:rPr>
      </w:pPr>
      <w:r w:rsidRPr="00A85A2A">
        <w:rPr>
          <w:rFonts w:ascii="Courier New" w:eastAsia="宋体" w:hAnsi="Courier New" w:cs="宋体"/>
          <w:b/>
          <w:bCs/>
          <w:color w:val="000000"/>
          <w:kern w:val="0"/>
          <w:sz w:val="24"/>
          <w:szCs w:val="24"/>
        </w:rPr>
        <w:t>客户须知</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 xml:space="preserve">    1、本说明书与《广东南粤银行理财产品客户协议书》、《广东南粤银行“宝盈理财”理财产品适合度评估表及风险提示书》共同构成完整的不可分割的理财合同。</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 xml:space="preserve">    2、理财非存款，产品有风险，投资需谨慎。投资者应根据自身判断做出投资决策，不受任何误导、诱导。在认购本产品前，投资者应认真阅读本产品说明书，确保完全明白此类投资的性质、投资所涉及的风险以及自身承受风险的能力，并根据自身情况做出投资决策。</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 xml:space="preserve">    3、本理财产品为非保本浮动收益型产品，存在投资风险。广东南粤银行股份有限公司（以下简称“广东南粤银行”）将按照本产品说明书的约定，本着尽职勤勉的原则管理和运用投资者的理财资金，但理财产品相关的投资风险由投资者承担，相关的投资收益由投资者获得。本产品说明书对本理财产品的</w:t>
      </w:r>
      <w:proofErr w:type="gramStart"/>
      <w:r w:rsidRPr="00A85A2A">
        <w:rPr>
          <w:rFonts w:ascii="楷体" w:eastAsia="楷体" w:hAnsi="楷体" w:cs="宋体" w:hint="eastAsia"/>
          <w:color w:val="000000"/>
          <w:kern w:val="0"/>
          <w:sz w:val="24"/>
          <w:szCs w:val="24"/>
        </w:rPr>
        <w:t>预期年化投资收益率</w:t>
      </w:r>
      <w:proofErr w:type="gramEnd"/>
      <w:r w:rsidRPr="00A85A2A">
        <w:rPr>
          <w:rFonts w:ascii="楷体" w:eastAsia="楷体" w:hAnsi="楷体" w:cs="宋体" w:hint="eastAsia"/>
          <w:color w:val="000000"/>
          <w:kern w:val="0"/>
          <w:sz w:val="24"/>
          <w:szCs w:val="24"/>
        </w:rPr>
        <w:t>的表述仅供参考，属不具有法律约束力的用语，不代表投资者可能获得的实际收益，亦不构成广东南粤银行对本理财</w:t>
      </w:r>
      <w:bookmarkStart w:id="0" w:name="_GoBack"/>
      <w:bookmarkEnd w:id="0"/>
      <w:r w:rsidRPr="00A85A2A">
        <w:rPr>
          <w:rFonts w:ascii="楷体" w:eastAsia="楷体" w:hAnsi="楷体" w:cs="宋体" w:hint="eastAsia"/>
          <w:color w:val="000000"/>
          <w:kern w:val="0"/>
          <w:sz w:val="24"/>
          <w:szCs w:val="24"/>
        </w:rPr>
        <w:t>产品的任何收益承诺。</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 xml:space="preserve">    4、投资者若对本说明书的内容有任何疑问，请向广东南粤银行各营业网点咨询。</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 xml:space="preserve">    5、本说明书所有条款解释权归广东南粤银行所有。</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风险提示：</w:t>
      </w:r>
    </w:p>
    <w:p w:rsidR="00A85A2A" w:rsidRPr="00A85A2A" w:rsidRDefault="00A85A2A" w:rsidP="00A85A2A">
      <w:pPr>
        <w:widowControl/>
        <w:jc w:val="left"/>
        <w:rPr>
          <w:rFonts w:ascii="楷体" w:eastAsia="楷体" w:hAnsi="楷体" w:cs="宋体"/>
          <w:b/>
          <w:bCs/>
          <w:color w:val="000000"/>
          <w:kern w:val="0"/>
          <w:sz w:val="24"/>
          <w:szCs w:val="24"/>
        </w:rPr>
      </w:pPr>
      <w:r w:rsidRPr="00A85A2A">
        <w:rPr>
          <w:rFonts w:ascii="楷体" w:eastAsia="楷体" w:hAnsi="楷体" w:cs="宋体" w:hint="eastAsia"/>
          <w:b/>
          <w:bCs/>
          <w:color w:val="000000"/>
          <w:kern w:val="0"/>
          <w:sz w:val="24"/>
          <w:szCs w:val="24"/>
        </w:rPr>
        <w:t xml:space="preserve">    本理财产品为非保本浮动收益型理财产品，有投资风险，投资者应该充分认识投资风险，谨慎投资。以下风险揭示内容请投资者详细阅读，在充分了解并清楚知晓本产品蕴含风险的基础上，通过自身判断自主参与交易，并自愿承担相关风险：</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 xml:space="preserve">    1、信用风险：本理财产品投资但不限于信托计划、银行间市场债券、债券回购、央行票据、信托受益权等金融产品。如果信托融资的借款人、本理财产品的交易对手及债券发行人等发生信用违约，则可能影响投资收益，出现收益波动、收益为零甚至本金损失的情况；</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 xml:space="preserve">    2、市场风险：受各种市场因素、宏观政策因素等的影响，理财产品所投资的未到期债券、央行票据、金融债、信托融资等金融产品的市场价值可能下跌，影响理财产品收益。</w:t>
      </w:r>
      <w:r w:rsidRPr="00A85A2A">
        <w:rPr>
          <w:rFonts w:ascii="楷体" w:eastAsia="楷体" w:hAnsi="楷体" w:cs="宋体" w:hint="eastAsia"/>
          <w:color w:val="000000"/>
          <w:kern w:val="0"/>
          <w:sz w:val="24"/>
          <w:szCs w:val="24"/>
        </w:rPr>
        <w:br/>
        <w:t xml:space="preserve">    3、流动性风险：本理财产品存续期间，投资人在理财期限内没有提前终止权，也不设赎回，可能导致投资者需要资金时不能随时变现，隐藏流动性风险。</w:t>
      </w:r>
      <w:r w:rsidRPr="00A85A2A">
        <w:rPr>
          <w:rFonts w:ascii="楷体" w:eastAsia="楷体" w:hAnsi="楷体" w:cs="宋体" w:hint="eastAsia"/>
          <w:color w:val="000000"/>
          <w:kern w:val="0"/>
          <w:sz w:val="24"/>
          <w:szCs w:val="24"/>
        </w:rPr>
        <w:br/>
        <w:t xml:space="preserve">    4、政策风险：本理财产品是针对当前的相关法规和政策设计的。如国家宏观政策以及市场相关法规政策发生变化，可能影响理财产品的受理、投资、偿还等的正常进行，甚至导致本理财产品收益降低甚至本金损失。</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 xml:space="preserve">    5、管理风险：由于理财产品管理人受技能和管理水平等因素的限制，可能会影响本理财产品的本金和投资收益，导致本金遭受损失和理财收益处于较低水平甚至为零的风险。</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 xml:space="preserve">    6、理财产品不成立风险：如本理财产品募集期满，募集总额未达到规模下限或本理财产品在募集期间，市场发生剧烈波动，经广东南粤银行判断难以按照</w:t>
      </w:r>
      <w:r w:rsidRPr="00A85A2A">
        <w:rPr>
          <w:rFonts w:ascii="楷体" w:eastAsia="楷体" w:hAnsi="楷体" w:cs="宋体" w:hint="eastAsia"/>
          <w:color w:val="000000"/>
          <w:kern w:val="0"/>
          <w:sz w:val="24"/>
          <w:szCs w:val="24"/>
        </w:rPr>
        <w:lastRenderedPageBreak/>
        <w:t>理财产品说明书规定向投资者提供本理财产品，广东南粤银行有权决定本理财产品不成立。</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 xml:space="preserve">    7、提前终止的风险：在投资期内，如本理财产品发生本产品说明书 “提前终止”部分规定的情形，广东南粤银行有权提前终止本产品。投资者可能面临不能按预期期限取得预期收益及不能进行再投资的风险。</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 xml:space="preserve">    8、延期风险：如因理财产品项下对应的信托财产变现等原因（如信托融资逾期）造成理财产品不能按时还本付息，或因技术因素而产生的风险，如电脑系统故障等可能会造成本金及收益兑付延迟，投资者将面对理财期限延长的风险。</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 xml:space="preserve">    9、信息传递风险：本产品存续期内，投资者应根据本产品说明书所载明的信息披露方式及时查询本产品的相关信息。如果投资者未及时查询，或由于通讯故障、系统故障以及其他不可抗力等因素的影响使得投资者无法及时了解产品信息，并由此产生的责任和风险由投资者自行承担。</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 xml:space="preserve">    10、不可抗力风险：如自然灾害、金融市场危机、战争、投资市场停止交易等不可抗力、不可预见、不能克服的不可抗力事件出现，可能对本产品的产品成立、投资运作、资金返还、信息披露、公告通知或造成影响。</w:t>
      </w:r>
      <w:r w:rsidRPr="00A85A2A">
        <w:rPr>
          <w:rFonts w:ascii="楷体" w:eastAsia="楷体" w:hAnsi="楷体" w:cs="宋体" w:hint="eastAsia"/>
          <w:color w:val="000000"/>
          <w:kern w:val="0"/>
          <w:sz w:val="24"/>
          <w:szCs w:val="24"/>
        </w:rPr>
        <w:br/>
        <w:t xml:space="preserve">    （请投资者仔细阅读本产品说明书首页的风险提示）</w:t>
      </w:r>
    </w:p>
    <w:p w:rsidR="00A85A2A" w:rsidRPr="00A85A2A" w:rsidRDefault="00A85A2A" w:rsidP="00A85A2A">
      <w:pPr>
        <w:widowControl/>
        <w:jc w:val="left"/>
        <w:rPr>
          <w:rFonts w:ascii="楷体" w:eastAsia="楷体" w:hAnsi="楷体" w:cs="宋体"/>
          <w:b/>
          <w:bCs/>
          <w:color w:val="000000"/>
          <w:kern w:val="0"/>
          <w:sz w:val="24"/>
          <w:szCs w:val="24"/>
        </w:rPr>
      </w:pPr>
      <w:r w:rsidRPr="00A85A2A">
        <w:rPr>
          <w:rFonts w:ascii="楷体" w:eastAsia="楷体" w:hAnsi="楷体" w:cs="宋体" w:hint="eastAsia"/>
          <w:b/>
          <w:bCs/>
          <w:color w:val="000000"/>
          <w:kern w:val="0"/>
          <w:sz w:val="24"/>
          <w:szCs w:val="24"/>
        </w:rPr>
        <w:t>一、产品要素</w:t>
      </w:r>
    </w:p>
    <w:tbl>
      <w:tblPr>
        <w:tblW w:w="8620" w:type="dxa"/>
        <w:tblInd w:w="108" w:type="dxa"/>
        <w:tblLook w:val="04A0" w:firstRow="1" w:lastRow="0" w:firstColumn="1" w:lastColumn="0" w:noHBand="0" w:noVBand="1"/>
      </w:tblPr>
      <w:tblGrid>
        <w:gridCol w:w="1995"/>
        <w:gridCol w:w="6625"/>
      </w:tblGrid>
      <w:tr w:rsidR="00A85A2A" w:rsidRPr="00A85A2A" w:rsidTr="00A85A2A">
        <w:trPr>
          <w:trHeight w:val="285"/>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产品名称</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“宝盈理财”如意2015M01A07号滚动型人民币理财产品</w:t>
            </w:r>
          </w:p>
        </w:tc>
      </w:tr>
      <w:tr w:rsidR="00A85A2A" w:rsidRPr="00A85A2A" w:rsidTr="00A85A2A">
        <w:trPr>
          <w:trHeight w:val="285"/>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A85A2A" w:rsidRPr="00A85A2A" w:rsidRDefault="00A85A2A" w:rsidP="00A85A2A">
            <w:pPr>
              <w:widowControl/>
              <w:jc w:val="left"/>
              <w:rPr>
                <w:rFonts w:ascii="楷体" w:eastAsia="楷体" w:hAnsi="楷体" w:cs="宋体"/>
                <w:color w:val="000000"/>
                <w:kern w:val="0"/>
                <w:sz w:val="24"/>
                <w:szCs w:val="24"/>
              </w:rPr>
            </w:pP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代码：GDNY_RY_2015_M01A07</w:t>
            </w:r>
          </w:p>
        </w:tc>
      </w:tr>
      <w:tr w:rsidR="00A85A2A" w:rsidRPr="00A85A2A" w:rsidTr="00A85A2A">
        <w:trPr>
          <w:trHeight w:val="285"/>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A85A2A" w:rsidRPr="00A85A2A" w:rsidRDefault="00A85A2A" w:rsidP="00A85A2A">
            <w:pPr>
              <w:widowControl/>
              <w:jc w:val="left"/>
              <w:rPr>
                <w:rFonts w:ascii="楷体" w:eastAsia="楷体" w:hAnsi="楷体" w:cs="宋体"/>
                <w:color w:val="000000"/>
                <w:kern w:val="0"/>
                <w:sz w:val="24"/>
                <w:szCs w:val="24"/>
              </w:rPr>
            </w:pP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发行登记号：C1083015000434</w:t>
            </w:r>
          </w:p>
        </w:tc>
      </w:tr>
      <w:tr w:rsidR="00A85A2A" w:rsidRPr="00A85A2A" w:rsidTr="00A85A2A">
        <w:trPr>
          <w:trHeight w:val="73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目标客户</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经我行风险评估，评定为稳健型、平衡型、成长型、进取</w:t>
            </w:r>
            <w:proofErr w:type="gramStart"/>
            <w:r w:rsidRPr="00A85A2A">
              <w:rPr>
                <w:rFonts w:ascii="楷体" w:eastAsia="楷体" w:hAnsi="楷体" w:cs="宋体" w:hint="eastAsia"/>
                <w:color w:val="000000"/>
                <w:kern w:val="0"/>
                <w:sz w:val="24"/>
                <w:szCs w:val="24"/>
              </w:rPr>
              <w:t>型个人</w:t>
            </w:r>
            <w:proofErr w:type="gramEnd"/>
            <w:r w:rsidRPr="00A85A2A">
              <w:rPr>
                <w:rFonts w:ascii="楷体" w:eastAsia="楷体" w:hAnsi="楷体" w:cs="宋体" w:hint="eastAsia"/>
                <w:color w:val="000000"/>
                <w:kern w:val="0"/>
                <w:sz w:val="24"/>
                <w:szCs w:val="24"/>
              </w:rPr>
              <w:t>及机构客户。</w:t>
            </w:r>
          </w:p>
        </w:tc>
      </w:tr>
      <w:tr w:rsidR="00A85A2A" w:rsidRPr="00A85A2A" w:rsidTr="00A85A2A">
        <w:trPr>
          <w:trHeight w:val="5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认购起点金额</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个人客户5万元起，以1万元整数</w:t>
            </w:r>
            <w:proofErr w:type="gramStart"/>
            <w:r w:rsidRPr="00A85A2A">
              <w:rPr>
                <w:rFonts w:ascii="楷体" w:eastAsia="楷体" w:hAnsi="楷体" w:cs="宋体" w:hint="eastAsia"/>
                <w:color w:val="000000"/>
                <w:kern w:val="0"/>
                <w:sz w:val="24"/>
                <w:szCs w:val="24"/>
              </w:rPr>
              <w:t>倍</w:t>
            </w:r>
            <w:proofErr w:type="gramEnd"/>
            <w:r w:rsidRPr="00A85A2A">
              <w:rPr>
                <w:rFonts w:ascii="楷体" w:eastAsia="楷体" w:hAnsi="楷体" w:cs="宋体" w:hint="eastAsia"/>
                <w:color w:val="000000"/>
                <w:kern w:val="0"/>
                <w:sz w:val="24"/>
                <w:szCs w:val="24"/>
              </w:rPr>
              <w:t>递增，最高不超过3000万元；机构客户50万元起，以1万元整数</w:t>
            </w:r>
            <w:proofErr w:type="gramStart"/>
            <w:r w:rsidRPr="00A85A2A">
              <w:rPr>
                <w:rFonts w:ascii="楷体" w:eastAsia="楷体" w:hAnsi="楷体" w:cs="宋体" w:hint="eastAsia"/>
                <w:color w:val="000000"/>
                <w:kern w:val="0"/>
                <w:sz w:val="24"/>
                <w:szCs w:val="24"/>
              </w:rPr>
              <w:t>倍</w:t>
            </w:r>
            <w:proofErr w:type="gramEnd"/>
            <w:r w:rsidRPr="00A85A2A">
              <w:rPr>
                <w:rFonts w:ascii="楷体" w:eastAsia="楷体" w:hAnsi="楷体" w:cs="宋体" w:hint="eastAsia"/>
                <w:color w:val="000000"/>
                <w:kern w:val="0"/>
                <w:sz w:val="24"/>
                <w:szCs w:val="24"/>
              </w:rPr>
              <w:t>递增，最高不超过1000万元</w:t>
            </w:r>
          </w:p>
        </w:tc>
      </w:tr>
      <w:tr w:rsidR="00A85A2A" w:rsidRPr="00A85A2A" w:rsidTr="00A85A2A">
        <w:trPr>
          <w:trHeight w:val="45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购买方式</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通过广东南粤银行各营业网点或</w:t>
            </w:r>
            <w:proofErr w:type="gramStart"/>
            <w:r w:rsidRPr="00A85A2A">
              <w:rPr>
                <w:rFonts w:ascii="楷体" w:eastAsia="楷体" w:hAnsi="楷体" w:cs="宋体" w:hint="eastAsia"/>
                <w:color w:val="000000"/>
                <w:kern w:val="0"/>
                <w:sz w:val="24"/>
                <w:szCs w:val="24"/>
              </w:rPr>
              <w:t>广东南粤银行网银认购</w:t>
            </w:r>
            <w:proofErr w:type="gramEnd"/>
          </w:p>
        </w:tc>
      </w:tr>
      <w:tr w:rsidR="00A85A2A" w:rsidRPr="00A85A2A" w:rsidTr="00A85A2A">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期限</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39天</w:t>
            </w:r>
          </w:p>
        </w:tc>
      </w:tr>
      <w:tr w:rsidR="00A85A2A" w:rsidRPr="00A85A2A" w:rsidTr="00A85A2A">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投资及收益币种</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人民币</w:t>
            </w:r>
          </w:p>
        </w:tc>
      </w:tr>
      <w:tr w:rsidR="00A85A2A" w:rsidRPr="00A85A2A" w:rsidTr="00A85A2A">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产品类型</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非保本浮动收益型</w:t>
            </w:r>
          </w:p>
        </w:tc>
      </w:tr>
      <w:tr w:rsidR="00A85A2A" w:rsidRPr="00A85A2A" w:rsidTr="00A85A2A">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发行规模</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以实际募集金额为准</w:t>
            </w:r>
          </w:p>
        </w:tc>
      </w:tr>
      <w:tr w:rsidR="00A85A2A" w:rsidRPr="00A85A2A" w:rsidTr="00A85A2A">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募集期</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2015年8月31日至2015年9月6日</w:t>
            </w:r>
          </w:p>
        </w:tc>
      </w:tr>
      <w:tr w:rsidR="00A85A2A" w:rsidRPr="00A85A2A" w:rsidTr="00A85A2A">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起始日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2015年9月7日。理财产品自起始日起息。</w:t>
            </w:r>
          </w:p>
        </w:tc>
      </w:tr>
      <w:tr w:rsidR="00A85A2A" w:rsidRPr="00A85A2A" w:rsidTr="00A85A2A">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到期日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2015年10月16日</w:t>
            </w:r>
          </w:p>
        </w:tc>
      </w:tr>
      <w:tr w:rsidR="00A85A2A" w:rsidRPr="00A85A2A" w:rsidTr="00A85A2A">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产品到期资金到账日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到期日后2个工作日内</w:t>
            </w:r>
          </w:p>
        </w:tc>
      </w:tr>
      <w:tr w:rsidR="00A85A2A" w:rsidRPr="00A85A2A" w:rsidTr="00A85A2A">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下期产品预约终止日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起始日-到期日前2天</w:t>
            </w:r>
          </w:p>
        </w:tc>
      </w:tr>
      <w:tr w:rsidR="00A85A2A" w:rsidRPr="00A85A2A" w:rsidTr="00A85A2A">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理财资金托管行</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广发银行股份有限公司</w:t>
            </w:r>
          </w:p>
        </w:tc>
      </w:tr>
      <w:tr w:rsidR="00A85A2A" w:rsidRPr="00A85A2A" w:rsidTr="00A85A2A">
        <w:trPr>
          <w:trHeight w:val="31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lastRenderedPageBreak/>
              <w:t>资金投向</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A85A2A">
              <w:rPr>
                <w:rFonts w:ascii="楷体" w:eastAsia="楷体" w:hAnsi="楷体" w:cs="宋体" w:hint="eastAsia"/>
                <w:color w:val="000000"/>
                <w:kern w:val="0"/>
                <w:sz w:val="24"/>
                <w:szCs w:val="24"/>
              </w:rPr>
              <w:t>尽合理</w:t>
            </w:r>
            <w:proofErr w:type="gramEnd"/>
            <w:r w:rsidRPr="00A85A2A">
              <w:rPr>
                <w:rFonts w:ascii="楷体" w:eastAsia="楷体" w:hAnsi="楷体" w:cs="宋体" w:hint="eastAsia"/>
                <w:color w:val="000000"/>
                <w:kern w:val="0"/>
                <w:sz w:val="24"/>
                <w:szCs w:val="24"/>
              </w:rPr>
              <w:t>努力，以客户利益最大化为原则尽快使投资比例恢复至上述规定区间）。</w:t>
            </w:r>
          </w:p>
        </w:tc>
      </w:tr>
      <w:tr w:rsidR="00A85A2A" w:rsidRPr="00A85A2A" w:rsidTr="00A85A2A">
        <w:trPr>
          <w:trHeight w:val="124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预期</w:t>
            </w:r>
            <w:proofErr w:type="gramStart"/>
            <w:r w:rsidRPr="00A85A2A">
              <w:rPr>
                <w:rFonts w:ascii="楷体" w:eastAsia="楷体" w:hAnsi="楷体" w:cs="宋体" w:hint="eastAsia"/>
                <w:color w:val="000000"/>
                <w:kern w:val="0"/>
                <w:sz w:val="24"/>
                <w:szCs w:val="24"/>
              </w:rPr>
              <w:t>参考年化收益率</w:t>
            </w:r>
            <w:proofErr w:type="gramEnd"/>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证券公司、信托公司收取管理费（年化）0.2%-1%（若有），理财产品托管人收取托管费率（年化）为产品募集总金额的0.03%，若扣除上述费用及相关税、费后，客户预期</w:t>
            </w:r>
            <w:proofErr w:type="gramStart"/>
            <w:r w:rsidRPr="00A85A2A">
              <w:rPr>
                <w:rFonts w:ascii="楷体" w:eastAsia="楷体" w:hAnsi="楷体" w:cs="宋体" w:hint="eastAsia"/>
                <w:color w:val="000000"/>
                <w:kern w:val="0"/>
                <w:sz w:val="24"/>
                <w:szCs w:val="24"/>
              </w:rPr>
              <w:t>参考年化收益率</w:t>
            </w:r>
            <w:proofErr w:type="gramEnd"/>
            <w:r w:rsidRPr="00A85A2A">
              <w:rPr>
                <w:rFonts w:ascii="楷体" w:eastAsia="楷体" w:hAnsi="楷体" w:cs="宋体" w:hint="eastAsia"/>
                <w:color w:val="000000"/>
                <w:kern w:val="0"/>
                <w:sz w:val="24"/>
                <w:szCs w:val="24"/>
              </w:rPr>
              <w:t>为5.25%。</w:t>
            </w:r>
          </w:p>
        </w:tc>
      </w:tr>
      <w:tr w:rsidR="00A85A2A" w:rsidRPr="00A85A2A" w:rsidTr="00A85A2A">
        <w:trPr>
          <w:trHeight w:val="147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收益率测算</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在理财资产完全按预期价格足额收回情况下，本理财计划持有到</w:t>
            </w:r>
            <w:proofErr w:type="gramStart"/>
            <w:r w:rsidRPr="00A85A2A">
              <w:rPr>
                <w:rFonts w:ascii="楷体" w:eastAsia="楷体" w:hAnsi="楷体" w:cs="宋体" w:hint="eastAsia"/>
                <w:color w:val="000000"/>
                <w:kern w:val="0"/>
                <w:sz w:val="24"/>
                <w:szCs w:val="24"/>
              </w:rPr>
              <w:t>期年化</w:t>
            </w:r>
            <w:proofErr w:type="gramEnd"/>
            <w:r w:rsidRPr="00A85A2A">
              <w:rPr>
                <w:rFonts w:ascii="楷体" w:eastAsia="楷体" w:hAnsi="楷体" w:cs="宋体" w:hint="eastAsia"/>
                <w:color w:val="000000"/>
                <w:kern w:val="0"/>
                <w:sz w:val="24"/>
                <w:szCs w:val="24"/>
              </w:rPr>
              <w:t>收益率按照客户实际购买理财金额对应的理财收益率进行分配；在部分或全部资产未能完全按预期价格足额收回的情况下，需要根据资产实际处分情况，来计算投资者应得理财收益。</w:t>
            </w:r>
          </w:p>
        </w:tc>
      </w:tr>
      <w:tr w:rsidR="00A85A2A" w:rsidRPr="00A85A2A" w:rsidTr="00A85A2A">
        <w:trPr>
          <w:trHeight w:val="1215"/>
        </w:trPr>
        <w:tc>
          <w:tcPr>
            <w:tcW w:w="199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募集期是否计算</w:t>
            </w:r>
            <w:r w:rsidRPr="00A85A2A">
              <w:rPr>
                <w:rFonts w:ascii="楷体" w:eastAsia="楷体" w:hAnsi="楷体" w:cs="宋体" w:hint="eastAsia"/>
                <w:color w:val="000000"/>
                <w:kern w:val="0"/>
                <w:sz w:val="24"/>
                <w:szCs w:val="24"/>
              </w:rPr>
              <w:br w:type="page"/>
              <w:t>存款利息</w:t>
            </w:r>
          </w:p>
        </w:tc>
        <w:tc>
          <w:tcPr>
            <w:tcW w:w="6625" w:type="dxa"/>
            <w:tcBorders>
              <w:top w:val="single" w:sz="4" w:space="0" w:color="auto"/>
              <w:left w:val="nil"/>
              <w:bottom w:val="single" w:sz="4" w:space="0" w:color="auto"/>
              <w:right w:val="single" w:sz="4" w:space="0" w:color="000000"/>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是，但募集期间内的利息不计入认购本金。</w:t>
            </w:r>
          </w:p>
        </w:tc>
      </w:tr>
      <w:tr w:rsidR="00A85A2A" w:rsidRPr="00A85A2A" w:rsidTr="00A85A2A">
        <w:trPr>
          <w:trHeight w:val="81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认购起点金额</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个人客户5万元起，以1万元整数</w:t>
            </w:r>
            <w:proofErr w:type="gramStart"/>
            <w:r w:rsidRPr="00A85A2A">
              <w:rPr>
                <w:rFonts w:ascii="楷体" w:eastAsia="楷体" w:hAnsi="楷体" w:cs="宋体" w:hint="eastAsia"/>
                <w:color w:val="000000"/>
                <w:kern w:val="0"/>
                <w:sz w:val="24"/>
                <w:szCs w:val="24"/>
              </w:rPr>
              <w:t>倍</w:t>
            </w:r>
            <w:proofErr w:type="gramEnd"/>
            <w:r w:rsidRPr="00A85A2A">
              <w:rPr>
                <w:rFonts w:ascii="楷体" w:eastAsia="楷体" w:hAnsi="楷体" w:cs="宋体" w:hint="eastAsia"/>
                <w:color w:val="000000"/>
                <w:kern w:val="0"/>
                <w:sz w:val="24"/>
                <w:szCs w:val="24"/>
              </w:rPr>
              <w:t>递增，最高不超过3000万元；机构客户50万元起，以1万元整数</w:t>
            </w:r>
            <w:proofErr w:type="gramStart"/>
            <w:r w:rsidRPr="00A85A2A">
              <w:rPr>
                <w:rFonts w:ascii="楷体" w:eastAsia="楷体" w:hAnsi="楷体" w:cs="宋体" w:hint="eastAsia"/>
                <w:color w:val="000000"/>
                <w:kern w:val="0"/>
                <w:sz w:val="24"/>
                <w:szCs w:val="24"/>
              </w:rPr>
              <w:t>倍</w:t>
            </w:r>
            <w:proofErr w:type="gramEnd"/>
            <w:r w:rsidRPr="00A85A2A">
              <w:rPr>
                <w:rFonts w:ascii="楷体" w:eastAsia="楷体" w:hAnsi="楷体" w:cs="宋体" w:hint="eastAsia"/>
                <w:color w:val="000000"/>
                <w:kern w:val="0"/>
                <w:sz w:val="24"/>
                <w:szCs w:val="24"/>
              </w:rPr>
              <w:t>递增，最高不超过1000万元</w:t>
            </w:r>
          </w:p>
        </w:tc>
      </w:tr>
      <w:tr w:rsidR="00A85A2A" w:rsidRPr="00A85A2A" w:rsidTr="00A85A2A">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收益计算方法</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期末收益＝投资本金×实际收益率×实际理财天数/365</w:t>
            </w:r>
          </w:p>
        </w:tc>
      </w:tr>
      <w:tr w:rsidR="00A85A2A" w:rsidRPr="00A85A2A" w:rsidTr="00A85A2A">
        <w:trPr>
          <w:trHeight w:val="10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客户提前终止权</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客户无提前终止权，但在投资期内，客户可在本周期起息日至到期日前二天（不含）期间选择预约终止（只能预约全部资金终止），下一周期起息日即为终止日。</w:t>
            </w:r>
          </w:p>
        </w:tc>
      </w:tr>
      <w:tr w:rsidR="00A85A2A" w:rsidRPr="00A85A2A" w:rsidTr="00A85A2A">
        <w:trPr>
          <w:trHeight w:val="10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银行提前终止权</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如遇国家金融政策出现重大调整、市场发生重大变动或突发事件并影响到本理财产品的正常运作时，广东南粤银行有权提前终止本理财产品。</w:t>
            </w:r>
          </w:p>
        </w:tc>
      </w:tr>
      <w:tr w:rsidR="00A85A2A" w:rsidRPr="00A85A2A" w:rsidTr="00A85A2A">
        <w:trPr>
          <w:trHeight w:val="37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税务处理</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我行不代扣代缴，但法律、法规另有规定除外</w:t>
            </w:r>
          </w:p>
        </w:tc>
      </w:tr>
      <w:tr w:rsidR="00A85A2A" w:rsidRPr="00A85A2A" w:rsidTr="00A85A2A">
        <w:trPr>
          <w:trHeight w:val="1035"/>
        </w:trPr>
        <w:tc>
          <w:tcPr>
            <w:tcW w:w="1995" w:type="dxa"/>
            <w:tcBorders>
              <w:top w:val="nil"/>
              <w:left w:val="single" w:sz="4" w:space="0" w:color="auto"/>
              <w:bottom w:val="single" w:sz="4" w:space="0" w:color="auto"/>
              <w:right w:val="single" w:sz="4" w:space="0" w:color="000000"/>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其他规定</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投资者签署《广东南粤银行理财产品客户协议书》后，即视为投资者同意广东南粤银行有权在认购日从投资者账户中冻结其签约本金，募集期间冻结资金按同期活期利率计算利息。</w:t>
            </w:r>
          </w:p>
        </w:tc>
      </w:tr>
    </w:tbl>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二、 投资管理</w:t>
      </w:r>
      <w:r w:rsidRPr="00A85A2A">
        <w:rPr>
          <w:rFonts w:ascii="楷体" w:eastAsia="楷体" w:hAnsi="楷体" w:cs="宋体" w:hint="eastAsia"/>
          <w:color w:val="000000"/>
          <w:kern w:val="0"/>
          <w:sz w:val="24"/>
          <w:szCs w:val="24"/>
        </w:rPr>
        <w:br/>
        <w:t xml:space="preserve">    1、 基础资产构成</w:t>
      </w:r>
      <w:r w:rsidRPr="00A85A2A">
        <w:rPr>
          <w:rFonts w:ascii="楷体" w:eastAsia="楷体" w:hAnsi="楷体" w:cs="宋体" w:hint="eastAsia"/>
          <w:color w:val="000000"/>
          <w:kern w:val="0"/>
          <w:sz w:val="24"/>
          <w:szCs w:val="24"/>
        </w:rPr>
        <w:br/>
        <w:t xml:space="preserve">    本理财产品投资但不限于银行间市场债券、同业存款、融资租赁资产、货币基金、债券基金、信托计划以及固定收益类券商集合资产管理计划、定向资产管理计划等金融产品（具体以每期产品的实际投向为准）。</w:t>
      </w:r>
      <w:r w:rsidRPr="00A85A2A">
        <w:rPr>
          <w:rFonts w:ascii="楷体" w:eastAsia="楷体" w:hAnsi="楷体" w:cs="宋体" w:hint="eastAsia"/>
          <w:color w:val="000000"/>
          <w:kern w:val="0"/>
          <w:sz w:val="24"/>
          <w:szCs w:val="24"/>
        </w:rPr>
        <w:br/>
        <w:t xml:space="preserve">    2、 投资管理人</w:t>
      </w:r>
      <w:r w:rsidRPr="00A85A2A">
        <w:rPr>
          <w:rFonts w:ascii="楷体" w:eastAsia="楷体" w:hAnsi="楷体" w:cs="宋体" w:hint="eastAsia"/>
          <w:color w:val="000000"/>
          <w:kern w:val="0"/>
          <w:sz w:val="24"/>
          <w:szCs w:val="24"/>
        </w:rPr>
        <w:br/>
      </w:r>
      <w:r w:rsidRPr="00A85A2A">
        <w:rPr>
          <w:rFonts w:ascii="楷体" w:eastAsia="楷体" w:hAnsi="楷体" w:cs="宋体" w:hint="eastAsia"/>
          <w:color w:val="000000"/>
          <w:kern w:val="0"/>
          <w:sz w:val="24"/>
          <w:szCs w:val="24"/>
        </w:rPr>
        <w:lastRenderedPageBreak/>
        <w:t xml:space="preserve">    广东南粤银行为本理财计划的投资管理人，负责本理财计划的投资运作与产品管理。</w:t>
      </w:r>
      <w:r w:rsidRPr="00A85A2A">
        <w:rPr>
          <w:rFonts w:ascii="楷体" w:eastAsia="楷体" w:hAnsi="楷体" w:cs="宋体" w:hint="eastAsia"/>
          <w:color w:val="000000"/>
          <w:kern w:val="0"/>
          <w:sz w:val="24"/>
          <w:szCs w:val="24"/>
        </w:rPr>
        <w:br/>
        <w:t xml:space="preserve">    3、 基本原理原则</w:t>
      </w:r>
      <w:r w:rsidRPr="00A85A2A">
        <w:rPr>
          <w:rFonts w:ascii="楷体" w:eastAsia="楷体" w:hAnsi="楷体" w:cs="宋体" w:hint="eastAsia"/>
          <w:color w:val="000000"/>
          <w:kern w:val="0"/>
          <w:sz w:val="24"/>
          <w:szCs w:val="24"/>
        </w:rPr>
        <w:br/>
        <w:t xml:space="preserve">    （1）合</w:t>
      </w:r>
      <w:proofErr w:type="gramStart"/>
      <w:r w:rsidRPr="00A85A2A">
        <w:rPr>
          <w:rFonts w:ascii="楷体" w:eastAsia="楷体" w:hAnsi="楷体" w:cs="宋体" w:hint="eastAsia"/>
          <w:color w:val="000000"/>
          <w:kern w:val="0"/>
          <w:sz w:val="24"/>
          <w:szCs w:val="24"/>
        </w:rPr>
        <w:t>规</w:t>
      </w:r>
      <w:proofErr w:type="gramEnd"/>
      <w:r w:rsidRPr="00A85A2A">
        <w:rPr>
          <w:rFonts w:ascii="楷体" w:eastAsia="楷体" w:hAnsi="楷体" w:cs="宋体" w:hint="eastAsia"/>
          <w:color w:val="000000"/>
          <w:kern w:val="0"/>
          <w:sz w:val="24"/>
          <w:szCs w:val="24"/>
        </w:rPr>
        <w:t>运作：严格遵守国家有关法律法规，严格遵守广东南粤银行相关规章制度。</w:t>
      </w:r>
      <w:r w:rsidRPr="00A85A2A">
        <w:rPr>
          <w:rFonts w:ascii="楷体" w:eastAsia="楷体" w:hAnsi="楷体" w:cs="宋体" w:hint="eastAsia"/>
          <w:color w:val="000000"/>
          <w:kern w:val="0"/>
          <w:sz w:val="24"/>
          <w:szCs w:val="24"/>
        </w:rPr>
        <w:br/>
        <w:t xml:space="preserve">    （2）客户利益最大化：以维护本理财产品的本金安全和收益保障作为组合构建的最高准则。</w:t>
      </w:r>
      <w:r w:rsidRPr="00A85A2A">
        <w:rPr>
          <w:rFonts w:ascii="楷体" w:eastAsia="楷体" w:hAnsi="楷体" w:cs="宋体" w:hint="eastAsia"/>
          <w:color w:val="000000"/>
          <w:kern w:val="0"/>
          <w:sz w:val="24"/>
          <w:szCs w:val="24"/>
        </w:rPr>
        <w:br/>
        <w:t xml:space="preserve">    （3）尽职透明：严格在本理财产品说明书及对应协议书约定的专项理财资产运作方式范围内履行尽职管理责任，并对本理财产品风险予以充分揭示和披露。</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三、 理财收益计算示例</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 xml:space="preserve">    1、 本金及理财收益风险</w:t>
      </w:r>
      <w:r w:rsidRPr="00A85A2A">
        <w:rPr>
          <w:rFonts w:ascii="楷体" w:eastAsia="楷体" w:hAnsi="楷体" w:cs="宋体" w:hint="eastAsia"/>
          <w:color w:val="000000"/>
          <w:kern w:val="0"/>
          <w:sz w:val="24"/>
          <w:szCs w:val="24"/>
        </w:rPr>
        <w:br/>
        <w:t>本理财产品不保证本金及收益，广东南粤银行对本理财产品不做出任何保本或收益承诺。</w:t>
      </w:r>
      <w:r w:rsidRPr="00A85A2A">
        <w:rPr>
          <w:rFonts w:ascii="楷体" w:eastAsia="楷体" w:hAnsi="楷体" w:cs="宋体" w:hint="eastAsia"/>
          <w:color w:val="000000"/>
          <w:kern w:val="0"/>
          <w:sz w:val="24"/>
          <w:szCs w:val="24"/>
        </w:rPr>
        <w:br/>
        <w:t xml:space="preserve">    2、 风险示例</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 xml:space="preserve">    在投资于基础资产的本金和获得利息未按时足额回收的情况下，本理财产品将根据投资本息实际回收情况计算投资者应得的本金及理财收益。如到期只能收回本金及部分利息，则本理财产品实际收益率可能低于预期最高收益；如到期未能按时收回任何利息，则本理财产品收益为负，投资者将损失部分本金；如发生基础资产无法回收全部本金的最不利情况下，投资者将损失全部本金。</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 xml:space="preserve">    3、 投资者所得收益说明</w:t>
      </w:r>
      <w:r w:rsidRPr="00A85A2A">
        <w:rPr>
          <w:rFonts w:ascii="楷体" w:eastAsia="楷体" w:hAnsi="楷体" w:cs="宋体" w:hint="eastAsia"/>
          <w:color w:val="000000"/>
          <w:kern w:val="0"/>
          <w:sz w:val="24"/>
          <w:szCs w:val="24"/>
        </w:rPr>
        <w:br/>
        <w:t xml:space="preserve">    本理财产品为非保本浮动收益产品，广东南粤银行对本理财产品不做出任何保本或收益承诺。</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 xml:space="preserve">    当理财计划实现</w:t>
      </w:r>
      <w:proofErr w:type="gramStart"/>
      <w:r w:rsidRPr="00A85A2A">
        <w:rPr>
          <w:rFonts w:ascii="楷体" w:eastAsia="楷体" w:hAnsi="楷体" w:cs="宋体" w:hint="eastAsia"/>
          <w:color w:val="000000"/>
          <w:kern w:val="0"/>
          <w:sz w:val="24"/>
          <w:szCs w:val="24"/>
        </w:rPr>
        <w:t>的年化收益率</w:t>
      </w:r>
      <w:proofErr w:type="gramEnd"/>
      <w:r w:rsidRPr="00A85A2A">
        <w:rPr>
          <w:rFonts w:ascii="楷体" w:eastAsia="楷体" w:hAnsi="楷体" w:cs="宋体" w:hint="eastAsia"/>
          <w:color w:val="000000"/>
          <w:kern w:val="0"/>
          <w:sz w:val="24"/>
          <w:szCs w:val="24"/>
        </w:rPr>
        <w:t>超出</w:t>
      </w:r>
      <w:proofErr w:type="gramStart"/>
      <w:r w:rsidRPr="00A85A2A">
        <w:rPr>
          <w:rFonts w:ascii="楷体" w:eastAsia="楷体" w:hAnsi="楷体" w:cs="宋体" w:hint="eastAsia"/>
          <w:color w:val="000000"/>
          <w:kern w:val="0"/>
          <w:sz w:val="24"/>
          <w:szCs w:val="24"/>
        </w:rPr>
        <w:t>参考年化收益率</w:t>
      </w:r>
      <w:proofErr w:type="gramEnd"/>
      <w:r w:rsidRPr="00A85A2A">
        <w:rPr>
          <w:rFonts w:ascii="楷体" w:eastAsia="楷体" w:hAnsi="楷体" w:cs="宋体" w:hint="eastAsia"/>
          <w:color w:val="000000"/>
          <w:kern w:val="0"/>
          <w:sz w:val="24"/>
          <w:szCs w:val="24"/>
        </w:rPr>
        <w:t>时，投资者只能获得本说明书中注明的对应档次</w:t>
      </w:r>
      <w:proofErr w:type="gramStart"/>
      <w:r w:rsidRPr="00A85A2A">
        <w:rPr>
          <w:rFonts w:ascii="楷体" w:eastAsia="楷体" w:hAnsi="楷体" w:cs="宋体" w:hint="eastAsia"/>
          <w:color w:val="000000"/>
          <w:kern w:val="0"/>
          <w:sz w:val="24"/>
          <w:szCs w:val="24"/>
        </w:rPr>
        <w:t>参考年化收益率</w:t>
      </w:r>
      <w:proofErr w:type="gramEnd"/>
      <w:r w:rsidRPr="00A85A2A">
        <w:rPr>
          <w:rFonts w:ascii="楷体" w:eastAsia="楷体" w:hAnsi="楷体" w:cs="宋体" w:hint="eastAsia"/>
          <w:color w:val="000000"/>
          <w:kern w:val="0"/>
          <w:sz w:val="24"/>
          <w:szCs w:val="24"/>
        </w:rPr>
        <w:t>，超出部分作为广东南粤银行管理费；若小于本说明书中的对应档次的</w:t>
      </w:r>
      <w:proofErr w:type="gramStart"/>
      <w:r w:rsidRPr="00A85A2A">
        <w:rPr>
          <w:rFonts w:ascii="楷体" w:eastAsia="楷体" w:hAnsi="楷体" w:cs="宋体" w:hint="eastAsia"/>
          <w:color w:val="000000"/>
          <w:kern w:val="0"/>
          <w:sz w:val="24"/>
          <w:szCs w:val="24"/>
        </w:rPr>
        <w:t>参考年化收益率</w:t>
      </w:r>
      <w:proofErr w:type="gramEnd"/>
      <w:r w:rsidRPr="00A85A2A">
        <w:rPr>
          <w:rFonts w:ascii="楷体" w:eastAsia="楷体" w:hAnsi="楷体" w:cs="宋体" w:hint="eastAsia"/>
          <w:color w:val="000000"/>
          <w:kern w:val="0"/>
          <w:sz w:val="24"/>
          <w:szCs w:val="24"/>
        </w:rPr>
        <w:t>，投资者到</w:t>
      </w:r>
      <w:proofErr w:type="gramStart"/>
      <w:r w:rsidRPr="00A85A2A">
        <w:rPr>
          <w:rFonts w:ascii="楷体" w:eastAsia="楷体" w:hAnsi="楷体" w:cs="宋体" w:hint="eastAsia"/>
          <w:color w:val="000000"/>
          <w:kern w:val="0"/>
          <w:sz w:val="24"/>
          <w:szCs w:val="24"/>
        </w:rPr>
        <w:t>期年化</w:t>
      </w:r>
      <w:proofErr w:type="gramEnd"/>
      <w:r w:rsidRPr="00A85A2A">
        <w:rPr>
          <w:rFonts w:ascii="楷体" w:eastAsia="楷体" w:hAnsi="楷体" w:cs="宋体" w:hint="eastAsia"/>
          <w:color w:val="000000"/>
          <w:kern w:val="0"/>
          <w:sz w:val="24"/>
          <w:szCs w:val="24"/>
        </w:rPr>
        <w:t>收益率则根据资产实际回收情况计算。</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 xml:space="preserve">    4、 投资者所得收益计算示例</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 xml:space="preserve">    （1） 计算公式：</w:t>
      </w:r>
      <w:r w:rsidRPr="00A85A2A">
        <w:rPr>
          <w:rFonts w:ascii="楷体" w:eastAsia="楷体" w:hAnsi="楷体" w:cs="宋体" w:hint="eastAsia"/>
          <w:color w:val="000000"/>
          <w:kern w:val="0"/>
          <w:sz w:val="24"/>
          <w:szCs w:val="24"/>
        </w:rPr>
        <w:br/>
        <w:t xml:space="preserve">    投资者理财收益=认购本金*理财产品</w:t>
      </w:r>
      <w:proofErr w:type="gramStart"/>
      <w:r w:rsidRPr="00A85A2A">
        <w:rPr>
          <w:rFonts w:ascii="楷体" w:eastAsia="楷体" w:hAnsi="楷体" w:cs="宋体" w:hint="eastAsia"/>
          <w:color w:val="000000"/>
          <w:kern w:val="0"/>
          <w:sz w:val="24"/>
          <w:szCs w:val="24"/>
        </w:rPr>
        <w:t>实际年化收益率</w:t>
      </w:r>
      <w:proofErr w:type="gramEnd"/>
      <w:r w:rsidRPr="00A85A2A">
        <w:rPr>
          <w:rFonts w:ascii="楷体" w:eastAsia="楷体" w:hAnsi="楷体" w:cs="宋体" w:hint="eastAsia"/>
          <w:color w:val="000000"/>
          <w:kern w:val="0"/>
          <w:sz w:val="24"/>
          <w:szCs w:val="24"/>
        </w:rPr>
        <w:t>*实际理财天数/365，</w:t>
      </w:r>
      <w:r w:rsidRPr="00A85A2A">
        <w:rPr>
          <w:rFonts w:ascii="楷体" w:eastAsia="楷体" w:hAnsi="楷体" w:cs="宋体" w:hint="eastAsia"/>
          <w:color w:val="000000"/>
          <w:kern w:val="0"/>
          <w:sz w:val="24"/>
          <w:szCs w:val="24"/>
        </w:rPr>
        <w:br/>
        <w:t xml:space="preserve">    投资者到期收到款项按四舍五入法保留两位小数。</w:t>
      </w:r>
      <w:r w:rsidRPr="00A85A2A">
        <w:rPr>
          <w:rFonts w:ascii="楷体" w:eastAsia="楷体" w:hAnsi="楷体" w:cs="宋体" w:hint="eastAsia"/>
          <w:color w:val="000000"/>
          <w:kern w:val="0"/>
          <w:sz w:val="24"/>
          <w:szCs w:val="24"/>
        </w:rPr>
        <w:br/>
        <w:t xml:space="preserve">    （2） 计算示例：</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 xml:space="preserve">    假设客户理财本金为50,000元，对应档次的预期最高</w:t>
      </w:r>
      <w:proofErr w:type="gramStart"/>
      <w:r w:rsidRPr="00A85A2A">
        <w:rPr>
          <w:rFonts w:ascii="楷体" w:eastAsia="楷体" w:hAnsi="楷体" w:cs="宋体" w:hint="eastAsia"/>
          <w:color w:val="000000"/>
          <w:kern w:val="0"/>
          <w:sz w:val="24"/>
          <w:szCs w:val="24"/>
        </w:rPr>
        <w:t>年化参考</w:t>
      </w:r>
      <w:proofErr w:type="gramEnd"/>
      <w:r w:rsidRPr="00A85A2A">
        <w:rPr>
          <w:rFonts w:ascii="楷体" w:eastAsia="楷体" w:hAnsi="楷体" w:cs="宋体" w:hint="eastAsia"/>
          <w:color w:val="000000"/>
          <w:kern w:val="0"/>
          <w:sz w:val="24"/>
          <w:szCs w:val="24"/>
        </w:rPr>
        <w:t>收益率为5.25%，实际理财天数39天，</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 xml:space="preserve">    A:若客户理财产品到期实现</w:t>
      </w:r>
      <w:proofErr w:type="gramStart"/>
      <w:r w:rsidRPr="00A85A2A">
        <w:rPr>
          <w:rFonts w:ascii="楷体" w:eastAsia="楷体" w:hAnsi="楷体" w:cs="宋体" w:hint="eastAsia"/>
          <w:color w:val="000000"/>
          <w:kern w:val="0"/>
          <w:sz w:val="24"/>
          <w:szCs w:val="24"/>
        </w:rPr>
        <w:t>的年化收益率</w:t>
      </w:r>
      <w:proofErr w:type="gramEnd"/>
      <w:r w:rsidRPr="00A85A2A">
        <w:rPr>
          <w:rFonts w:ascii="楷体" w:eastAsia="楷体" w:hAnsi="楷体" w:cs="宋体" w:hint="eastAsia"/>
          <w:color w:val="000000"/>
          <w:kern w:val="0"/>
          <w:sz w:val="24"/>
          <w:szCs w:val="24"/>
        </w:rPr>
        <w:t>为5.35%，则投资者的理财收益为：</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 xml:space="preserve">    投资者的理财收益=50,000×5.25%×39/365= 280.48元</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 xml:space="preserve">    B:若客户理财产品到期实现</w:t>
      </w:r>
      <w:proofErr w:type="gramStart"/>
      <w:r w:rsidRPr="00A85A2A">
        <w:rPr>
          <w:rFonts w:ascii="楷体" w:eastAsia="楷体" w:hAnsi="楷体" w:cs="宋体" w:hint="eastAsia"/>
          <w:color w:val="000000"/>
          <w:kern w:val="0"/>
          <w:sz w:val="24"/>
          <w:szCs w:val="24"/>
        </w:rPr>
        <w:t>的年化收益率</w:t>
      </w:r>
      <w:proofErr w:type="gramEnd"/>
      <w:r w:rsidRPr="00A85A2A">
        <w:rPr>
          <w:rFonts w:ascii="楷体" w:eastAsia="楷体" w:hAnsi="楷体" w:cs="宋体" w:hint="eastAsia"/>
          <w:color w:val="000000"/>
          <w:kern w:val="0"/>
          <w:sz w:val="24"/>
          <w:szCs w:val="24"/>
        </w:rPr>
        <w:t>为5.15%，则投资者的理财收益为：</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 xml:space="preserve">    投资者的理财收益=50,000×5.15%×39/365= 275.14元</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 xml:space="preserve"> （上述示例数据均采用假设数据计算，测算收益不等于实际收益，投资须谨慎）</w:t>
      </w:r>
      <w:r w:rsidRPr="00A85A2A">
        <w:rPr>
          <w:rFonts w:ascii="楷体" w:eastAsia="楷体" w:hAnsi="楷体" w:cs="宋体" w:hint="eastAsia"/>
          <w:color w:val="000000"/>
          <w:kern w:val="0"/>
          <w:sz w:val="24"/>
          <w:szCs w:val="24"/>
        </w:rPr>
        <w:br/>
      </w:r>
      <w:r w:rsidRPr="00A85A2A">
        <w:rPr>
          <w:rFonts w:ascii="楷体" w:eastAsia="楷体" w:hAnsi="楷体" w:cs="宋体" w:hint="eastAsia"/>
          <w:b/>
          <w:bCs/>
          <w:color w:val="000000"/>
          <w:kern w:val="0"/>
          <w:sz w:val="24"/>
          <w:szCs w:val="24"/>
        </w:rPr>
        <w:t>四、 内部风险评级</w:t>
      </w:r>
      <w:r w:rsidRPr="00A85A2A">
        <w:rPr>
          <w:rFonts w:ascii="楷体" w:eastAsia="楷体" w:hAnsi="楷体" w:cs="宋体" w:hint="eastAsia"/>
          <w:color w:val="000000"/>
          <w:kern w:val="0"/>
          <w:sz w:val="24"/>
          <w:szCs w:val="24"/>
        </w:rPr>
        <w:br/>
        <w:t xml:space="preserve">    1、本产品为非保本浮动收益型理财产品，内部风险评级级别分别为较低风险级别。</w:t>
      </w:r>
      <w:r w:rsidRPr="00A85A2A">
        <w:rPr>
          <w:rFonts w:ascii="楷体" w:eastAsia="楷体" w:hAnsi="楷体" w:cs="宋体" w:hint="eastAsia"/>
          <w:color w:val="000000"/>
          <w:kern w:val="0"/>
          <w:sz w:val="24"/>
          <w:szCs w:val="24"/>
        </w:rPr>
        <w:br/>
        <w:t xml:space="preserve">    2、</w:t>
      </w:r>
      <w:proofErr w:type="gramStart"/>
      <w:r w:rsidRPr="00A85A2A">
        <w:rPr>
          <w:rFonts w:ascii="楷体" w:eastAsia="楷体" w:hAnsi="楷体" w:cs="宋体" w:hint="eastAsia"/>
          <w:color w:val="000000"/>
          <w:kern w:val="0"/>
          <w:sz w:val="24"/>
          <w:szCs w:val="24"/>
        </w:rPr>
        <w:t>本风险</w:t>
      </w:r>
      <w:proofErr w:type="gramEnd"/>
      <w:r w:rsidRPr="00A85A2A">
        <w:rPr>
          <w:rFonts w:ascii="楷体" w:eastAsia="楷体" w:hAnsi="楷体" w:cs="宋体" w:hint="eastAsia"/>
          <w:color w:val="000000"/>
          <w:kern w:val="0"/>
          <w:sz w:val="24"/>
          <w:szCs w:val="24"/>
        </w:rPr>
        <w:t>评级为广东南粤银行内部评级结果，仅供投资者参考，不具备法律效力。</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本理财产品风险评级：R2</w:t>
      </w:r>
    </w:p>
    <w:tbl>
      <w:tblPr>
        <w:tblW w:w="8620" w:type="dxa"/>
        <w:tblInd w:w="108" w:type="dxa"/>
        <w:tblLook w:val="04A0" w:firstRow="1" w:lastRow="0" w:firstColumn="1" w:lastColumn="0" w:noHBand="0" w:noVBand="1"/>
      </w:tblPr>
      <w:tblGrid>
        <w:gridCol w:w="846"/>
        <w:gridCol w:w="1325"/>
        <w:gridCol w:w="1407"/>
        <w:gridCol w:w="1538"/>
        <w:gridCol w:w="3504"/>
      </w:tblGrid>
      <w:tr w:rsidR="00A85A2A" w:rsidRPr="00A85A2A" w:rsidTr="00A85A2A">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A85A2A" w:rsidRPr="00A85A2A" w:rsidRDefault="00A85A2A" w:rsidP="00A85A2A">
            <w:pPr>
              <w:widowControl/>
              <w:jc w:val="center"/>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lastRenderedPageBreak/>
              <w:t>内部风险评级</w:t>
            </w:r>
          </w:p>
        </w:tc>
        <w:tc>
          <w:tcPr>
            <w:tcW w:w="7980" w:type="dxa"/>
            <w:gridSpan w:val="4"/>
            <w:tcBorders>
              <w:top w:val="single" w:sz="4" w:space="0" w:color="auto"/>
              <w:left w:val="nil"/>
              <w:bottom w:val="single" w:sz="4" w:space="0" w:color="auto"/>
              <w:right w:val="single" w:sz="4" w:space="0" w:color="auto"/>
            </w:tcBorders>
            <w:shd w:val="clear" w:color="auto" w:fill="auto"/>
            <w:vAlign w:val="center"/>
            <w:hideMark/>
          </w:tcPr>
          <w:p w:rsidR="00A85A2A" w:rsidRPr="00A85A2A" w:rsidRDefault="00A85A2A" w:rsidP="00A85A2A">
            <w:pPr>
              <w:widowControl/>
              <w:jc w:val="center"/>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本理财产品风险评级：R2</w:t>
            </w:r>
          </w:p>
        </w:tc>
      </w:tr>
      <w:tr w:rsidR="00A85A2A" w:rsidRPr="00A85A2A" w:rsidTr="00A85A2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85A2A" w:rsidRPr="00A85A2A" w:rsidRDefault="00A85A2A" w:rsidP="00A85A2A">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auto" w:fill="auto"/>
            <w:vAlign w:val="center"/>
            <w:hideMark/>
          </w:tcPr>
          <w:p w:rsidR="00A85A2A" w:rsidRPr="00A85A2A" w:rsidRDefault="00A85A2A" w:rsidP="00A85A2A">
            <w:pPr>
              <w:widowControl/>
              <w:jc w:val="center"/>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风险评级</w:t>
            </w:r>
          </w:p>
        </w:tc>
        <w:tc>
          <w:tcPr>
            <w:tcW w:w="1440" w:type="dxa"/>
            <w:tcBorders>
              <w:top w:val="nil"/>
              <w:left w:val="nil"/>
              <w:bottom w:val="single" w:sz="4" w:space="0" w:color="auto"/>
              <w:right w:val="single" w:sz="4" w:space="0" w:color="auto"/>
            </w:tcBorders>
            <w:shd w:val="clear" w:color="auto" w:fill="auto"/>
            <w:vAlign w:val="center"/>
            <w:hideMark/>
          </w:tcPr>
          <w:p w:rsidR="00A85A2A" w:rsidRPr="00A85A2A" w:rsidRDefault="00A85A2A" w:rsidP="00A85A2A">
            <w:pPr>
              <w:widowControl/>
              <w:jc w:val="center"/>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风险程度</w:t>
            </w:r>
          </w:p>
        </w:tc>
        <w:tc>
          <w:tcPr>
            <w:tcW w:w="1575" w:type="dxa"/>
            <w:tcBorders>
              <w:top w:val="nil"/>
              <w:left w:val="nil"/>
              <w:bottom w:val="single" w:sz="4" w:space="0" w:color="auto"/>
              <w:right w:val="single" w:sz="4" w:space="0" w:color="auto"/>
            </w:tcBorders>
            <w:shd w:val="clear" w:color="auto" w:fill="auto"/>
            <w:vAlign w:val="center"/>
            <w:hideMark/>
          </w:tcPr>
          <w:p w:rsidR="00A85A2A" w:rsidRPr="00A85A2A" w:rsidRDefault="00A85A2A" w:rsidP="00A85A2A">
            <w:pPr>
              <w:widowControl/>
              <w:jc w:val="center"/>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适合的投资者</w:t>
            </w:r>
          </w:p>
        </w:tc>
        <w:tc>
          <w:tcPr>
            <w:tcW w:w="3610" w:type="dxa"/>
            <w:tcBorders>
              <w:top w:val="nil"/>
              <w:left w:val="nil"/>
              <w:bottom w:val="single" w:sz="4" w:space="0" w:color="auto"/>
              <w:right w:val="single" w:sz="4" w:space="0" w:color="auto"/>
            </w:tcBorders>
            <w:shd w:val="clear" w:color="auto" w:fill="auto"/>
            <w:vAlign w:val="center"/>
            <w:hideMark/>
          </w:tcPr>
          <w:p w:rsidR="00A85A2A" w:rsidRPr="00A85A2A" w:rsidRDefault="00A85A2A" w:rsidP="00A85A2A">
            <w:pPr>
              <w:widowControl/>
              <w:jc w:val="center"/>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适合投资策略</w:t>
            </w:r>
          </w:p>
        </w:tc>
      </w:tr>
      <w:tr w:rsidR="00A85A2A" w:rsidRPr="00A85A2A" w:rsidTr="00A85A2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85A2A" w:rsidRPr="00A85A2A" w:rsidRDefault="00A85A2A" w:rsidP="00A85A2A">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A85A2A" w:rsidRPr="00A85A2A" w:rsidRDefault="00A85A2A" w:rsidP="00A85A2A">
            <w:pPr>
              <w:widowControl/>
              <w:jc w:val="center"/>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R1</w:t>
            </w:r>
          </w:p>
        </w:tc>
        <w:tc>
          <w:tcPr>
            <w:tcW w:w="1440" w:type="dxa"/>
            <w:tcBorders>
              <w:top w:val="nil"/>
              <w:left w:val="nil"/>
              <w:bottom w:val="single" w:sz="4" w:space="0" w:color="auto"/>
              <w:right w:val="single" w:sz="4" w:space="0" w:color="auto"/>
            </w:tcBorders>
            <w:shd w:val="clear" w:color="000000" w:fill="CCE8CF"/>
            <w:vAlign w:val="center"/>
            <w:hideMark/>
          </w:tcPr>
          <w:p w:rsidR="00A85A2A" w:rsidRPr="00A85A2A" w:rsidRDefault="00A85A2A" w:rsidP="00A85A2A">
            <w:pPr>
              <w:widowControl/>
              <w:jc w:val="center"/>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低</w:t>
            </w:r>
          </w:p>
        </w:tc>
        <w:tc>
          <w:tcPr>
            <w:tcW w:w="1575" w:type="dxa"/>
            <w:tcBorders>
              <w:top w:val="nil"/>
              <w:left w:val="nil"/>
              <w:bottom w:val="single" w:sz="4" w:space="0" w:color="auto"/>
              <w:right w:val="single" w:sz="4" w:space="0" w:color="auto"/>
            </w:tcBorders>
            <w:shd w:val="clear" w:color="000000" w:fill="CCE8CF"/>
            <w:vAlign w:val="center"/>
            <w:hideMark/>
          </w:tcPr>
          <w:p w:rsidR="00A85A2A" w:rsidRPr="00A85A2A" w:rsidRDefault="00A85A2A" w:rsidP="00A85A2A">
            <w:pPr>
              <w:widowControl/>
              <w:jc w:val="center"/>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保守型</w:t>
            </w:r>
          </w:p>
        </w:tc>
        <w:tc>
          <w:tcPr>
            <w:tcW w:w="3610" w:type="dxa"/>
            <w:tcBorders>
              <w:top w:val="nil"/>
              <w:left w:val="nil"/>
              <w:bottom w:val="single" w:sz="4" w:space="0" w:color="auto"/>
              <w:right w:val="single" w:sz="4" w:space="0" w:color="auto"/>
            </w:tcBorders>
            <w:shd w:val="clear" w:color="000000" w:fill="CCE8CF"/>
            <w:vAlign w:val="center"/>
            <w:hideMark/>
          </w:tcPr>
          <w:p w:rsidR="00A85A2A" w:rsidRPr="00A85A2A" w:rsidRDefault="00A85A2A" w:rsidP="00A85A2A">
            <w:pPr>
              <w:widowControl/>
              <w:jc w:val="center"/>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风险控制</w:t>
            </w:r>
          </w:p>
        </w:tc>
      </w:tr>
      <w:tr w:rsidR="00A85A2A" w:rsidRPr="00A85A2A" w:rsidTr="00A85A2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85A2A" w:rsidRPr="00A85A2A" w:rsidRDefault="00A85A2A" w:rsidP="00A85A2A">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A85A2A" w:rsidRPr="00A85A2A" w:rsidRDefault="00A85A2A" w:rsidP="00A85A2A">
            <w:pPr>
              <w:widowControl/>
              <w:jc w:val="center"/>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R2</w:t>
            </w:r>
          </w:p>
        </w:tc>
        <w:tc>
          <w:tcPr>
            <w:tcW w:w="1440" w:type="dxa"/>
            <w:tcBorders>
              <w:top w:val="nil"/>
              <w:left w:val="nil"/>
              <w:bottom w:val="single" w:sz="4" w:space="0" w:color="auto"/>
              <w:right w:val="single" w:sz="4" w:space="0" w:color="auto"/>
            </w:tcBorders>
            <w:shd w:val="clear" w:color="000000" w:fill="CCE8CF"/>
            <w:vAlign w:val="center"/>
            <w:hideMark/>
          </w:tcPr>
          <w:p w:rsidR="00A85A2A" w:rsidRPr="00A85A2A" w:rsidRDefault="00A85A2A" w:rsidP="00A85A2A">
            <w:pPr>
              <w:widowControl/>
              <w:jc w:val="center"/>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较低</w:t>
            </w:r>
          </w:p>
        </w:tc>
        <w:tc>
          <w:tcPr>
            <w:tcW w:w="1575" w:type="dxa"/>
            <w:tcBorders>
              <w:top w:val="nil"/>
              <w:left w:val="nil"/>
              <w:bottom w:val="single" w:sz="4" w:space="0" w:color="auto"/>
              <w:right w:val="single" w:sz="4" w:space="0" w:color="auto"/>
            </w:tcBorders>
            <w:shd w:val="clear" w:color="000000" w:fill="CCE8CF"/>
            <w:vAlign w:val="center"/>
            <w:hideMark/>
          </w:tcPr>
          <w:p w:rsidR="00A85A2A" w:rsidRPr="00A85A2A" w:rsidRDefault="00A85A2A" w:rsidP="00A85A2A">
            <w:pPr>
              <w:widowControl/>
              <w:jc w:val="center"/>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稳健型</w:t>
            </w:r>
          </w:p>
        </w:tc>
        <w:tc>
          <w:tcPr>
            <w:tcW w:w="3610" w:type="dxa"/>
            <w:tcBorders>
              <w:top w:val="nil"/>
              <w:left w:val="nil"/>
              <w:bottom w:val="single" w:sz="4" w:space="0" w:color="auto"/>
              <w:right w:val="single" w:sz="4" w:space="0" w:color="auto"/>
            </w:tcBorders>
            <w:shd w:val="clear" w:color="000000" w:fill="CCE8CF"/>
            <w:vAlign w:val="center"/>
            <w:hideMark/>
          </w:tcPr>
          <w:p w:rsidR="00A85A2A" w:rsidRPr="00A85A2A" w:rsidRDefault="00A85A2A" w:rsidP="00A85A2A">
            <w:pPr>
              <w:widowControl/>
              <w:jc w:val="center"/>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稳健发展</w:t>
            </w:r>
          </w:p>
        </w:tc>
      </w:tr>
      <w:tr w:rsidR="00A85A2A" w:rsidRPr="00A85A2A" w:rsidTr="00A85A2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85A2A" w:rsidRPr="00A85A2A" w:rsidRDefault="00A85A2A" w:rsidP="00A85A2A">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A85A2A" w:rsidRPr="00A85A2A" w:rsidRDefault="00A85A2A" w:rsidP="00A85A2A">
            <w:pPr>
              <w:widowControl/>
              <w:jc w:val="center"/>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R3</w:t>
            </w:r>
          </w:p>
        </w:tc>
        <w:tc>
          <w:tcPr>
            <w:tcW w:w="1440" w:type="dxa"/>
            <w:tcBorders>
              <w:top w:val="nil"/>
              <w:left w:val="nil"/>
              <w:bottom w:val="single" w:sz="4" w:space="0" w:color="auto"/>
              <w:right w:val="single" w:sz="4" w:space="0" w:color="auto"/>
            </w:tcBorders>
            <w:shd w:val="clear" w:color="000000" w:fill="CCE8CF"/>
            <w:vAlign w:val="center"/>
            <w:hideMark/>
          </w:tcPr>
          <w:p w:rsidR="00A85A2A" w:rsidRPr="00A85A2A" w:rsidRDefault="00A85A2A" w:rsidP="00A85A2A">
            <w:pPr>
              <w:widowControl/>
              <w:jc w:val="center"/>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中</w:t>
            </w:r>
          </w:p>
        </w:tc>
        <w:tc>
          <w:tcPr>
            <w:tcW w:w="1575" w:type="dxa"/>
            <w:tcBorders>
              <w:top w:val="nil"/>
              <w:left w:val="nil"/>
              <w:bottom w:val="single" w:sz="4" w:space="0" w:color="auto"/>
              <w:right w:val="single" w:sz="4" w:space="0" w:color="auto"/>
            </w:tcBorders>
            <w:shd w:val="clear" w:color="000000" w:fill="CCE8CF"/>
            <w:vAlign w:val="center"/>
            <w:hideMark/>
          </w:tcPr>
          <w:p w:rsidR="00A85A2A" w:rsidRPr="00A85A2A" w:rsidRDefault="00A85A2A" w:rsidP="00A85A2A">
            <w:pPr>
              <w:widowControl/>
              <w:jc w:val="center"/>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平衡型</w:t>
            </w:r>
          </w:p>
        </w:tc>
        <w:tc>
          <w:tcPr>
            <w:tcW w:w="3610" w:type="dxa"/>
            <w:tcBorders>
              <w:top w:val="nil"/>
              <w:left w:val="nil"/>
              <w:bottom w:val="single" w:sz="4" w:space="0" w:color="auto"/>
              <w:right w:val="single" w:sz="4" w:space="0" w:color="auto"/>
            </w:tcBorders>
            <w:shd w:val="clear" w:color="000000" w:fill="CCE8CF"/>
            <w:vAlign w:val="center"/>
            <w:hideMark/>
          </w:tcPr>
          <w:p w:rsidR="00A85A2A" w:rsidRPr="00A85A2A" w:rsidRDefault="00A85A2A" w:rsidP="00A85A2A">
            <w:pPr>
              <w:widowControl/>
              <w:jc w:val="center"/>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均衡成长</w:t>
            </w:r>
          </w:p>
        </w:tc>
      </w:tr>
      <w:tr w:rsidR="00A85A2A" w:rsidRPr="00A85A2A" w:rsidTr="00A85A2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85A2A" w:rsidRPr="00A85A2A" w:rsidRDefault="00A85A2A" w:rsidP="00A85A2A">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A85A2A" w:rsidRPr="00A85A2A" w:rsidRDefault="00A85A2A" w:rsidP="00A85A2A">
            <w:pPr>
              <w:widowControl/>
              <w:jc w:val="center"/>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R4</w:t>
            </w:r>
          </w:p>
        </w:tc>
        <w:tc>
          <w:tcPr>
            <w:tcW w:w="1440" w:type="dxa"/>
            <w:tcBorders>
              <w:top w:val="nil"/>
              <w:left w:val="nil"/>
              <w:bottom w:val="single" w:sz="4" w:space="0" w:color="auto"/>
              <w:right w:val="single" w:sz="4" w:space="0" w:color="auto"/>
            </w:tcBorders>
            <w:shd w:val="clear" w:color="000000" w:fill="CCE8CF"/>
            <w:vAlign w:val="center"/>
            <w:hideMark/>
          </w:tcPr>
          <w:p w:rsidR="00A85A2A" w:rsidRPr="00A85A2A" w:rsidRDefault="00A85A2A" w:rsidP="00A85A2A">
            <w:pPr>
              <w:widowControl/>
              <w:jc w:val="center"/>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较高</w:t>
            </w:r>
          </w:p>
        </w:tc>
        <w:tc>
          <w:tcPr>
            <w:tcW w:w="1575" w:type="dxa"/>
            <w:tcBorders>
              <w:top w:val="nil"/>
              <w:left w:val="nil"/>
              <w:bottom w:val="single" w:sz="4" w:space="0" w:color="auto"/>
              <w:right w:val="single" w:sz="4" w:space="0" w:color="auto"/>
            </w:tcBorders>
            <w:shd w:val="clear" w:color="000000" w:fill="CCE8CF"/>
            <w:vAlign w:val="center"/>
            <w:hideMark/>
          </w:tcPr>
          <w:p w:rsidR="00A85A2A" w:rsidRPr="00A85A2A" w:rsidRDefault="00A85A2A" w:rsidP="00A85A2A">
            <w:pPr>
              <w:widowControl/>
              <w:jc w:val="center"/>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成长型</w:t>
            </w:r>
          </w:p>
        </w:tc>
        <w:tc>
          <w:tcPr>
            <w:tcW w:w="3610" w:type="dxa"/>
            <w:tcBorders>
              <w:top w:val="nil"/>
              <w:left w:val="nil"/>
              <w:bottom w:val="single" w:sz="4" w:space="0" w:color="auto"/>
              <w:right w:val="single" w:sz="4" w:space="0" w:color="auto"/>
            </w:tcBorders>
            <w:shd w:val="clear" w:color="000000" w:fill="CCE8CF"/>
            <w:vAlign w:val="center"/>
            <w:hideMark/>
          </w:tcPr>
          <w:p w:rsidR="00A85A2A" w:rsidRPr="00A85A2A" w:rsidRDefault="00A85A2A" w:rsidP="00A85A2A">
            <w:pPr>
              <w:widowControl/>
              <w:jc w:val="center"/>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积极进取</w:t>
            </w:r>
          </w:p>
        </w:tc>
      </w:tr>
      <w:tr w:rsidR="00A85A2A" w:rsidRPr="00A85A2A" w:rsidTr="00A85A2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85A2A" w:rsidRPr="00A85A2A" w:rsidRDefault="00A85A2A" w:rsidP="00A85A2A">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A85A2A" w:rsidRPr="00A85A2A" w:rsidRDefault="00A85A2A" w:rsidP="00A85A2A">
            <w:pPr>
              <w:widowControl/>
              <w:jc w:val="center"/>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R5</w:t>
            </w:r>
          </w:p>
        </w:tc>
        <w:tc>
          <w:tcPr>
            <w:tcW w:w="1440" w:type="dxa"/>
            <w:tcBorders>
              <w:top w:val="nil"/>
              <w:left w:val="nil"/>
              <w:bottom w:val="single" w:sz="4" w:space="0" w:color="auto"/>
              <w:right w:val="single" w:sz="4" w:space="0" w:color="auto"/>
            </w:tcBorders>
            <w:shd w:val="clear" w:color="000000" w:fill="CCE8CF"/>
            <w:vAlign w:val="center"/>
            <w:hideMark/>
          </w:tcPr>
          <w:p w:rsidR="00A85A2A" w:rsidRPr="00A85A2A" w:rsidRDefault="00A85A2A" w:rsidP="00A85A2A">
            <w:pPr>
              <w:widowControl/>
              <w:jc w:val="center"/>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高</w:t>
            </w:r>
          </w:p>
        </w:tc>
        <w:tc>
          <w:tcPr>
            <w:tcW w:w="1575" w:type="dxa"/>
            <w:tcBorders>
              <w:top w:val="nil"/>
              <w:left w:val="nil"/>
              <w:bottom w:val="single" w:sz="4" w:space="0" w:color="auto"/>
              <w:right w:val="single" w:sz="4" w:space="0" w:color="auto"/>
            </w:tcBorders>
            <w:shd w:val="clear" w:color="000000" w:fill="CCE8CF"/>
            <w:vAlign w:val="center"/>
            <w:hideMark/>
          </w:tcPr>
          <w:p w:rsidR="00A85A2A" w:rsidRPr="00A85A2A" w:rsidRDefault="00A85A2A" w:rsidP="00A85A2A">
            <w:pPr>
              <w:widowControl/>
              <w:jc w:val="center"/>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进取型</w:t>
            </w:r>
          </w:p>
        </w:tc>
        <w:tc>
          <w:tcPr>
            <w:tcW w:w="3610" w:type="dxa"/>
            <w:tcBorders>
              <w:top w:val="nil"/>
              <w:left w:val="nil"/>
              <w:bottom w:val="single" w:sz="4" w:space="0" w:color="auto"/>
              <w:right w:val="single" w:sz="4" w:space="0" w:color="auto"/>
            </w:tcBorders>
            <w:shd w:val="clear" w:color="000000" w:fill="CCE8CF"/>
            <w:vAlign w:val="center"/>
            <w:hideMark/>
          </w:tcPr>
          <w:p w:rsidR="00A85A2A" w:rsidRPr="00A85A2A" w:rsidRDefault="00A85A2A" w:rsidP="00A85A2A">
            <w:pPr>
              <w:widowControl/>
              <w:jc w:val="center"/>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风险承受</w:t>
            </w:r>
          </w:p>
        </w:tc>
      </w:tr>
    </w:tbl>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（本评级为广东南粤银行股份有限公司内部评级，仅供参考）</w:t>
      </w:r>
    </w:p>
    <w:p w:rsidR="00A85A2A" w:rsidRPr="00A85A2A" w:rsidRDefault="00A85A2A" w:rsidP="00A85A2A">
      <w:pPr>
        <w:widowControl/>
        <w:jc w:val="left"/>
        <w:rPr>
          <w:rFonts w:ascii="楷体" w:eastAsia="楷体" w:hAnsi="楷体" w:cs="宋体"/>
          <w:b/>
          <w:bCs/>
          <w:color w:val="000000"/>
          <w:kern w:val="0"/>
          <w:sz w:val="24"/>
          <w:szCs w:val="24"/>
        </w:rPr>
      </w:pPr>
      <w:r w:rsidRPr="00A85A2A">
        <w:rPr>
          <w:rFonts w:ascii="楷体" w:eastAsia="楷体" w:hAnsi="楷体" w:cs="宋体" w:hint="eastAsia"/>
          <w:b/>
          <w:bCs/>
          <w:color w:val="000000"/>
          <w:kern w:val="0"/>
          <w:sz w:val="24"/>
          <w:szCs w:val="24"/>
        </w:rPr>
        <w:t>五、信息披露及投诉方式</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A85A2A" w:rsidRPr="00A85A2A" w:rsidRDefault="00A85A2A" w:rsidP="00A85A2A">
      <w:pPr>
        <w:widowControl/>
        <w:jc w:val="lef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A85A2A" w:rsidRPr="00A85A2A" w:rsidRDefault="00A85A2A" w:rsidP="00A85A2A">
      <w:pPr>
        <w:widowControl/>
        <w:jc w:val="left"/>
        <w:rPr>
          <w:rFonts w:ascii="楷体" w:eastAsia="楷体" w:hAnsi="楷体" w:cs="宋体"/>
          <w:color w:val="000000"/>
          <w:kern w:val="0"/>
          <w:sz w:val="24"/>
          <w:szCs w:val="24"/>
        </w:rPr>
      </w:pPr>
    </w:p>
    <w:p w:rsidR="00A85A2A" w:rsidRPr="00A85A2A" w:rsidRDefault="00A85A2A" w:rsidP="00A85A2A">
      <w:pPr>
        <w:widowControl/>
        <w:jc w:val="right"/>
        <w:rPr>
          <w:rFonts w:ascii="楷体" w:eastAsia="楷体" w:hAnsi="楷体" w:cs="宋体"/>
          <w:color w:val="000000"/>
          <w:kern w:val="0"/>
          <w:sz w:val="24"/>
          <w:szCs w:val="24"/>
        </w:rPr>
      </w:pPr>
      <w:r w:rsidRPr="00A85A2A">
        <w:rPr>
          <w:rFonts w:ascii="楷体" w:eastAsia="楷体" w:hAnsi="楷体" w:cs="宋体" w:hint="eastAsia"/>
          <w:color w:val="000000"/>
          <w:kern w:val="0"/>
          <w:sz w:val="24"/>
          <w:szCs w:val="24"/>
        </w:rPr>
        <w:t>广东南粤银行股份有限公司</w:t>
      </w:r>
    </w:p>
    <w:p w:rsidR="00472756" w:rsidRPr="00A85A2A" w:rsidRDefault="00472756"/>
    <w:sectPr w:rsidR="00472756" w:rsidRPr="00A85A2A"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600" w:rsidRDefault="00191600" w:rsidP="00A85A2A">
      <w:r>
        <w:separator/>
      </w:r>
    </w:p>
  </w:endnote>
  <w:endnote w:type="continuationSeparator" w:id="0">
    <w:p w:rsidR="00191600" w:rsidRDefault="00191600" w:rsidP="00A8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165105"/>
      <w:docPartObj>
        <w:docPartGallery w:val="Page Numbers (Bottom of Page)"/>
        <w:docPartUnique/>
      </w:docPartObj>
    </w:sdtPr>
    <w:sdtContent>
      <w:p w:rsidR="00A85A2A" w:rsidRDefault="00A85A2A">
        <w:pPr>
          <w:pStyle w:val="a4"/>
          <w:jc w:val="center"/>
        </w:pPr>
        <w:r>
          <w:fldChar w:fldCharType="begin"/>
        </w:r>
        <w:r>
          <w:instrText>PAGE   \* MERGEFORMAT</w:instrText>
        </w:r>
        <w:r>
          <w:fldChar w:fldCharType="separate"/>
        </w:r>
        <w:r w:rsidRPr="00A85A2A">
          <w:rPr>
            <w:noProof/>
            <w:lang w:val="zh-CN"/>
          </w:rPr>
          <w:t>1</w:t>
        </w:r>
        <w:r>
          <w:fldChar w:fldCharType="end"/>
        </w:r>
      </w:p>
    </w:sdtContent>
  </w:sdt>
  <w:p w:rsidR="00A85A2A" w:rsidRDefault="00A85A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600" w:rsidRDefault="00191600" w:rsidP="00A85A2A">
      <w:r>
        <w:separator/>
      </w:r>
    </w:p>
  </w:footnote>
  <w:footnote w:type="continuationSeparator" w:id="0">
    <w:p w:rsidR="00191600" w:rsidRDefault="00191600" w:rsidP="00A85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A2A"/>
    <w:rsid w:val="00115FBA"/>
    <w:rsid w:val="00191600"/>
    <w:rsid w:val="00196C71"/>
    <w:rsid w:val="001C7EEB"/>
    <w:rsid w:val="002813C0"/>
    <w:rsid w:val="00451C79"/>
    <w:rsid w:val="00472756"/>
    <w:rsid w:val="005E4CC8"/>
    <w:rsid w:val="0062403C"/>
    <w:rsid w:val="00682190"/>
    <w:rsid w:val="00707456"/>
    <w:rsid w:val="00726BEC"/>
    <w:rsid w:val="007528C1"/>
    <w:rsid w:val="00902538"/>
    <w:rsid w:val="00A054AF"/>
    <w:rsid w:val="00A85A2A"/>
    <w:rsid w:val="00B53C63"/>
    <w:rsid w:val="00C65D2F"/>
    <w:rsid w:val="00CC0E7D"/>
    <w:rsid w:val="00D03C0C"/>
    <w:rsid w:val="00D576CF"/>
    <w:rsid w:val="00D974CA"/>
    <w:rsid w:val="00E00F35"/>
    <w:rsid w:val="00E8620B"/>
    <w:rsid w:val="00EA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5A2A"/>
    <w:rPr>
      <w:sz w:val="18"/>
      <w:szCs w:val="18"/>
    </w:rPr>
  </w:style>
  <w:style w:type="paragraph" w:styleId="a4">
    <w:name w:val="footer"/>
    <w:basedOn w:val="a"/>
    <w:link w:val="Char0"/>
    <w:uiPriority w:val="99"/>
    <w:unhideWhenUsed/>
    <w:rsid w:val="00A85A2A"/>
    <w:pPr>
      <w:tabs>
        <w:tab w:val="center" w:pos="4153"/>
        <w:tab w:val="right" w:pos="8306"/>
      </w:tabs>
      <w:snapToGrid w:val="0"/>
      <w:jc w:val="left"/>
    </w:pPr>
    <w:rPr>
      <w:sz w:val="18"/>
      <w:szCs w:val="18"/>
    </w:rPr>
  </w:style>
  <w:style w:type="character" w:customStyle="1" w:styleId="Char0">
    <w:name w:val="页脚 Char"/>
    <w:basedOn w:val="a0"/>
    <w:link w:val="a4"/>
    <w:uiPriority w:val="99"/>
    <w:rsid w:val="00A85A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5A2A"/>
    <w:rPr>
      <w:sz w:val="18"/>
      <w:szCs w:val="18"/>
    </w:rPr>
  </w:style>
  <w:style w:type="paragraph" w:styleId="a4">
    <w:name w:val="footer"/>
    <w:basedOn w:val="a"/>
    <w:link w:val="Char0"/>
    <w:uiPriority w:val="99"/>
    <w:unhideWhenUsed/>
    <w:rsid w:val="00A85A2A"/>
    <w:pPr>
      <w:tabs>
        <w:tab w:val="center" w:pos="4153"/>
        <w:tab w:val="right" w:pos="8306"/>
      </w:tabs>
      <w:snapToGrid w:val="0"/>
      <w:jc w:val="left"/>
    </w:pPr>
    <w:rPr>
      <w:sz w:val="18"/>
      <w:szCs w:val="18"/>
    </w:rPr>
  </w:style>
  <w:style w:type="character" w:customStyle="1" w:styleId="Char0">
    <w:name w:val="页脚 Char"/>
    <w:basedOn w:val="a0"/>
    <w:link w:val="a4"/>
    <w:uiPriority w:val="99"/>
    <w:rsid w:val="00A85A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52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709</Words>
  <Characters>4044</Characters>
  <Application>Microsoft Office Word</Application>
  <DocSecurity>0</DocSecurity>
  <Lines>33</Lines>
  <Paragraphs>9</Paragraphs>
  <ScaleCrop>false</ScaleCrop>
  <Company>china</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2015-08-31T07:25:00Z</dcterms:created>
  <dcterms:modified xsi:type="dcterms:W3CDTF">2015-08-31T07:26:00Z</dcterms:modified>
</cp:coreProperties>
</file>