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89A" w:rsidRPr="00B1089A" w:rsidRDefault="00B1089A" w:rsidP="00B1089A">
      <w:pPr>
        <w:widowControl/>
        <w:jc w:val="center"/>
        <w:rPr>
          <w:rFonts w:ascii="Courier New" w:eastAsia="宋体" w:hAnsi="Courier New" w:cs="Courier New"/>
          <w:b/>
          <w:bCs/>
          <w:kern w:val="0"/>
          <w:sz w:val="36"/>
          <w:szCs w:val="36"/>
        </w:rPr>
      </w:pPr>
      <w:r w:rsidRPr="00B1089A">
        <w:rPr>
          <w:rFonts w:ascii="Courier New" w:eastAsia="宋体" w:hAnsi="Courier New" w:cs="Courier New"/>
          <w:b/>
          <w:bCs/>
          <w:kern w:val="0"/>
          <w:sz w:val="36"/>
          <w:szCs w:val="36"/>
        </w:rPr>
        <w:t>“</w:t>
      </w:r>
      <w:r w:rsidRPr="00B1089A">
        <w:rPr>
          <w:rFonts w:ascii="Courier New" w:eastAsia="宋体" w:hAnsi="Courier New" w:cs="Courier New"/>
          <w:b/>
          <w:bCs/>
          <w:kern w:val="0"/>
          <w:sz w:val="36"/>
          <w:szCs w:val="36"/>
        </w:rPr>
        <w:t>宝盈理财</w:t>
      </w:r>
      <w:r w:rsidRPr="00B1089A">
        <w:rPr>
          <w:rFonts w:ascii="Courier New" w:eastAsia="宋体" w:hAnsi="Courier New" w:cs="Courier New"/>
          <w:b/>
          <w:bCs/>
          <w:kern w:val="0"/>
          <w:sz w:val="36"/>
          <w:szCs w:val="36"/>
        </w:rPr>
        <w:t>”</w:t>
      </w:r>
      <w:r w:rsidRPr="00B1089A">
        <w:rPr>
          <w:rFonts w:ascii="Courier New" w:eastAsia="宋体" w:hAnsi="Courier New" w:cs="Courier New"/>
          <w:b/>
          <w:bCs/>
          <w:kern w:val="0"/>
          <w:sz w:val="36"/>
          <w:szCs w:val="36"/>
        </w:rPr>
        <w:t>卓越</w:t>
      </w:r>
      <w:r w:rsidRPr="00B1089A">
        <w:rPr>
          <w:rFonts w:ascii="Courier New" w:eastAsia="宋体" w:hAnsi="Courier New" w:cs="Courier New"/>
          <w:b/>
          <w:bCs/>
          <w:kern w:val="0"/>
          <w:sz w:val="36"/>
          <w:szCs w:val="36"/>
        </w:rPr>
        <w:t>756</w:t>
      </w:r>
      <w:r w:rsidRPr="00B1089A">
        <w:rPr>
          <w:rFonts w:ascii="Courier New" w:eastAsia="宋体" w:hAnsi="Courier New" w:cs="Courier New"/>
          <w:b/>
          <w:bCs/>
          <w:kern w:val="0"/>
          <w:sz w:val="36"/>
          <w:szCs w:val="36"/>
        </w:rPr>
        <w:t>号人民币理财产品说明书</w:t>
      </w:r>
    </w:p>
    <w:p w:rsidR="00B1089A" w:rsidRPr="00B1089A" w:rsidRDefault="00B1089A" w:rsidP="00B1089A">
      <w:pPr>
        <w:widowControl/>
        <w:jc w:val="left"/>
        <w:rPr>
          <w:rFonts w:ascii="楷体" w:eastAsia="楷体" w:hAnsi="楷体" w:cs="宋体"/>
          <w:b/>
          <w:bCs/>
          <w:color w:val="000000"/>
          <w:kern w:val="0"/>
          <w:sz w:val="24"/>
          <w:szCs w:val="24"/>
        </w:rPr>
      </w:pPr>
      <w:r w:rsidRPr="00B1089A">
        <w:rPr>
          <w:rFonts w:ascii="楷体" w:eastAsia="楷体" w:hAnsi="楷体" w:cs="宋体" w:hint="eastAsia"/>
          <w:b/>
          <w:bCs/>
          <w:color w:val="000000"/>
          <w:kern w:val="0"/>
          <w:sz w:val="24"/>
          <w:szCs w:val="24"/>
        </w:rPr>
        <w:t>客户须知</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本说明书所有条款解释权归广东南粤银行股份有限公司所有。</w:t>
      </w:r>
    </w:p>
    <w:p w:rsidR="00B1089A" w:rsidRPr="00B1089A" w:rsidRDefault="00B1089A" w:rsidP="00B1089A">
      <w:pPr>
        <w:widowControl/>
        <w:jc w:val="left"/>
        <w:rPr>
          <w:rFonts w:ascii="楷体" w:eastAsia="楷体" w:hAnsi="楷体" w:cs="宋体"/>
          <w:b/>
          <w:bCs/>
          <w:color w:val="000000"/>
          <w:kern w:val="0"/>
          <w:sz w:val="24"/>
          <w:szCs w:val="24"/>
        </w:rPr>
      </w:pPr>
      <w:r w:rsidRPr="00B1089A">
        <w:rPr>
          <w:rFonts w:ascii="楷体" w:eastAsia="楷体" w:hAnsi="楷体" w:cs="宋体" w:hint="eastAsia"/>
          <w:b/>
          <w:bCs/>
          <w:color w:val="000000"/>
          <w:kern w:val="0"/>
          <w:sz w:val="24"/>
          <w:szCs w:val="24"/>
        </w:rPr>
        <w:t>产品定义</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B1089A" w:rsidRPr="00B1089A" w:rsidRDefault="00B1089A" w:rsidP="00B1089A">
      <w:pPr>
        <w:widowControl/>
        <w:jc w:val="left"/>
        <w:rPr>
          <w:rFonts w:ascii="楷体" w:eastAsia="楷体" w:hAnsi="楷体" w:cs="宋体"/>
          <w:b/>
          <w:bCs/>
          <w:color w:val="000000"/>
          <w:kern w:val="0"/>
          <w:sz w:val="24"/>
          <w:szCs w:val="24"/>
        </w:rPr>
      </w:pPr>
      <w:r w:rsidRPr="00B1089A">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B1089A" w:rsidRPr="00B1089A" w:rsidTr="00B1089A">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“宝盈理财”卓越756号人民币理财产品</w:t>
            </w:r>
          </w:p>
        </w:tc>
      </w:tr>
      <w:tr w:rsidR="00B1089A" w:rsidRPr="00B1089A" w:rsidTr="00B1089A">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B1089A" w:rsidRPr="00B1089A" w:rsidRDefault="00B1089A" w:rsidP="00B1089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代码：GDNY_ZY_756</w:t>
            </w:r>
          </w:p>
        </w:tc>
      </w:tr>
      <w:tr w:rsidR="00B1089A" w:rsidRPr="00B1089A" w:rsidTr="00B1089A">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B1089A" w:rsidRPr="00B1089A" w:rsidRDefault="00B1089A" w:rsidP="00B1089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发行登记号：C1083015000365</w:t>
            </w:r>
          </w:p>
        </w:tc>
      </w:tr>
      <w:tr w:rsidR="00B1089A" w:rsidRPr="00B1089A" w:rsidTr="00B1089A">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经我行风险评估，评定为稳健型、平衡型、成长型、进取型个人及机构客户。</w:t>
            </w:r>
          </w:p>
        </w:tc>
      </w:tr>
      <w:tr w:rsidR="00B1089A" w:rsidRPr="00B1089A" w:rsidTr="00B1089A">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通过广东南粤银行各营业网点或广东南粤银行网银认购</w:t>
            </w:r>
          </w:p>
        </w:tc>
      </w:tr>
      <w:tr w:rsidR="00B1089A" w:rsidRPr="00B1089A" w:rsidTr="00B1089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182天</w:t>
            </w:r>
          </w:p>
        </w:tc>
      </w:tr>
      <w:tr w:rsidR="00B1089A" w:rsidRPr="00B1089A" w:rsidTr="00B1089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人民币</w:t>
            </w:r>
          </w:p>
        </w:tc>
      </w:tr>
      <w:tr w:rsidR="00B1089A" w:rsidRPr="00B1089A" w:rsidTr="00B1089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b/>
                <w:bCs/>
                <w:color w:val="000000"/>
                <w:kern w:val="0"/>
                <w:sz w:val="24"/>
                <w:szCs w:val="24"/>
              </w:rPr>
            </w:pPr>
            <w:r w:rsidRPr="00B1089A">
              <w:rPr>
                <w:rFonts w:ascii="楷体" w:eastAsia="楷体" w:hAnsi="楷体" w:cs="宋体" w:hint="eastAsia"/>
                <w:b/>
                <w:bCs/>
                <w:color w:val="000000"/>
                <w:kern w:val="0"/>
                <w:sz w:val="24"/>
                <w:szCs w:val="24"/>
              </w:rPr>
              <w:t>非保本浮动收益型</w:t>
            </w:r>
          </w:p>
        </w:tc>
      </w:tr>
      <w:tr w:rsidR="00B1089A" w:rsidRPr="00B1089A" w:rsidTr="00B1089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以实际募集金额为准</w:t>
            </w:r>
          </w:p>
        </w:tc>
      </w:tr>
      <w:tr w:rsidR="00A362AA" w:rsidRPr="00B1089A" w:rsidTr="00B1089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2AA" w:rsidRPr="00B1089A" w:rsidRDefault="00A362A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362AA" w:rsidRDefault="00A362AA">
            <w:pPr>
              <w:widowControl/>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2015年9月2日至2015年9月8日</w:t>
            </w:r>
          </w:p>
        </w:tc>
      </w:tr>
      <w:tr w:rsidR="00A362AA" w:rsidRPr="00B1089A" w:rsidTr="00B1089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2AA" w:rsidRPr="00B1089A" w:rsidRDefault="00A362A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362AA" w:rsidRDefault="00A362AA">
            <w:pPr>
              <w:widowControl/>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2015年9月9日。理财产品自起始日起息。</w:t>
            </w:r>
          </w:p>
        </w:tc>
      </w:tr>
      <w:tr w:rsidR="00B1089A" w:rsidRPr="00B1089A" w:rsidTr="00B1089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1089A" w:rsidRPr="00B1089A" w:rsidRDefault="00B1089A" w:rsidP="00F707B5">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2016年3月</w:t>
            </w:r>
            <w:r w:rsidR="00F707B5">
              <w:rPr>
                <w:rFonts w:ascii="楷体" w:eastAsia="楷体" w:hAnsi="楷体" w:cs="宋体" w:hint="eastAsia"/>
                <w:color w:val="000000"/>
                <w:kern w:val="0"/>
                <w:sz w:val="24"/>
                <w:szCs w:val="24"/>
              </w:rPr>
              <w:t>9</w:t>
            </w:r>
            <w:r w:rsidRPr="00B1089A">
              <w:rPr>
                <w:rFonts w:ascii="楷体" w:eastAsia="楷体" w:hAnsi="楷体" w:cs="宋体" w:hint="eastAsia"/>
                <w:color w:val="000000"/>
                <w:kern w:val="0"/>
                <w:sz w:val="24"/>
                <w:szCs w:val="24"/>
              </w:rPr>
              <w:t>日</w:t>
            </w:r>
          </w:p>
        </w:tc>
      </w:tr>
      <w:tr w:rsidR="00B1089A" w:rsidRPr="00B1089A" w:rsidTr="00B1089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到期日后2个工作日内</w:t>
            </w:r>
          </w:p>
        </w:tc>
      </w:tr>
      <w:tr w:rsidR="00B1089A" w:rsidRPr="00B1089A" w:rsidTr="00B1089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中国邮政储蓄银行</w:t>
            </w:r>
          </w:p>
        </w:tc>
      </w:tr>
      <w:tr w:rsidR="00B1089A" w:rsidRPr="00B1089A" w:rsidTr="00B1089A">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投资比例恢复至上述规定区间）。</w:t>
            </w:r>
          </w:p>
        </w:tc>
      </w:tr>
      <w:tr w:rsidR="00B1089A" w:rsidRPr="00B1089A" w:rsidTr="00B1089A">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lastRenderedPageBreak/>
              <w:t>参考年化收益率</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个人客户：5万-30万：5.45%；30万-3000万：5.5%；</w:t>
            </w:r>
            <w:r w:rsidRPr="00B1089A">
              <w:rPr>
                <w:rFonts w:ascii="楷体" w:eastAsia="楷体" w:hAnsi="楷体" w:cs="宋体" w:hint="eastAsia"/>
                <w:color w:val="000000"/>
                <w:kern w:val="0"/>
                <w:sz w:val="24"/>
                <w:szCs w:val="24"/>
              </w:rPr>
              <w:br/>
              <w:t>机构客户：50万-1000万：5.45%；</w:t>
            </w:r>
          </w:p>
        </w:tc>
      </w:tr>
      <w:tr w:rsidR="00B1089A" w:rsidRPr="00B1089A" w:rsidTr="00B1089A">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B1089A" w:rsidRPr="00B1089A" w:rsidTr="00B1089A">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个人客户5万元起，以1万元整数倍递增，最高不超过3000万元；机构客户50万元起，以1万元整数倍递增，最高不超过1000万元</w:t>
            </w:r>
          </w:p>
        </w:tc>
      </w:tr>
      <w:tr w:rsidR="00B1089A" w:rsidRPr="00B1089A" w:rsidTr="00B1089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期末收益＝投资本金×实际收益率×实际理财天数/365</w:t>
            </w:r>
          </w:p>
        </w:tc>
      </w:tr>
      <w:tr w:rsidR="00B1089A" w:rsidRPr="00B1089A" w:rsidTr="00B1089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客户无权提前终止该产品</w:t>
            </w:r>
          </w:p>
        </w:tc>
      </w:tr>
      <w:tr w:rsidR="00B1089A" w:rsidRPr="00B1089A" w:rsidTr="00B1089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我行不代扣代缴，但法律、法规另有规定除外</w:t>
            </w:r>
          </w:p>
        </w:tc>
      </w:tr>
      <w:tr w:rsidR="00B1089A" w:rsidRPr="00B1089A" w:rsidTr="00B1089A">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1、到期日至到账日之间，客户资金不计利息</w:t>
            </w:r>
          </w:p>
        </w:tc>
      </w:tr>
      <w:tr w:rsidR="00B1089A" w:rsidRPr="00B1089A" w:rsidTr="00B1089A">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B1089A" w:rsidRPr="00B1089A" w:rsidRDefault="00B1089A" w:rsidP="00B1089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B1089A" w:rsidRPr="00B1089A" w:rsidRDefault="00B1089A" w:rsidP="00B1089A">
      <w:pPr>
        <w:widowControl/>
        <w:jc w:val="left"/>
        <w:rPr>
          <w:rFonts w:ascii="楷体" w:eastAsia="楷体" w:hAnsi="楷体" w:cs="宋体"/>
          <w:b/>
          <w:bCs/>
          <w:color w:val="000000"/>
          <w:kern w:val="0"/>
          <w:sz w:val="24"/>
          <w:szCs w:val="24"/>
        </w:rPr>
      </w:pPr>
      <w:r w:rsidRPr="00B1089A">
        <w:rPr>
          <w:rFonts w:ascii="楷体" w:eastAsia="楷体" w:hAnsi="楷体" w:cs="宋体" w:hint="eastAsia"/>
          <w:b/>
          <w:bCs/>
          <w:color w:val="000000"/>
          <w:kern w:val="0"/>
          <w:sz w:val="24"/>
          <w:szCs w:val="24"/>
        </w:rPr>
        <w:t>风险提示</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B1089A">
        <w:rPr>
          <w:rFonts w:ascii="楷体" w:eastAsia="楷体" w:hAnsi="楷体" w:cs="宋体" w:hint="eastAsia"/>
          <w:kern w:val="0"/>
          <w:sz w:val="24"/>
          <w:szCs w:val="24"/>
        </w:rPr>
        <w:t>会上下波动，影响理财产品收益。</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B1089A" w:rsidRPr="00B1089A" w:rsidRDefault="00B1089A" w:rsidP="00B1089A">
      <w:pPr>
        <w:widowControl/>
        <w:jc w:val="center"/>
        <w:rPr>
          <w:rFonts w:ascii="楷体" w:eastAsia="楷体" w:hAnsi="楷体" w:cs="宋体"/>
          <w:b/>
          <w:bCs/>
          <w:color w:val="000000"/>
          <w:kern w:val="0"/>
          <w:sz w:val="24"/>
          <w:szCs w:val="24"/>
        </w:rPr>
      </w:pPr>
      <w:r w:rsidRPr="00B1089A">
        <w:rPr>
          <w:rFonts w:ascii="楷体" w:eastAsia="楷体" w:hAnsi="楷体" w:cs="宋体" w:hint="eastAsia"/>
          <w:b/>
          <w:bCs/>
          <w:color w:val="000000"/>
          <w:kern w:val="0"/>
          <w:sz w:val="24"/>
          <w:szCs w:val="24"/>
        </w:rPr>
        <w:t>（请投资者仔细阅读本产品说明书首页的风险提示）</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B1089A" w:rsidRPr="00B1089A" w:rsidTr="00B1089A">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本理财产品内部风险评级为：R2</w:t>
            </w:r>
          </w:p>
        </w:tc>
      </w:tr>
      <w:tr w:rsidR="00B1089A" w:rsidRPr="00B1089A" w:rsidTr="00B1089A">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1089A" w:rsidRPr="00B1089A" w:rsidRDefault="00B1089A" w:rsidP="00B1089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适合投资策略</w:t>
            </w:r>
          </w:p>
        </w:tc>
      </w:tr>
      <w:tr w:rsidR="00B1089A" w:rsidRPr="00B1089A" w:rsidTr="00B1089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1089A" w:rsidRPr="00B1089A" w:rsidRDefault="00B1089A" w:rsidP="00B1089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风险控制</w:t>
            </w:r>
          </w:p>
        </w:tc>
      </w:tr>
      <w:tr w:rsidR="00B1089A" w:rsidRPr="00B1089A" w:rsidTr="00B1089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1089A" w:rsidRPr="00B1089A" w:rsidRDefault="00B1089A" w:rsidP="00B1089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稳健发展</w:t>
            </w:r>
          </w:p>
        </w:tc>
      </w:tr>
      <w:tr w:rsidR="00B1089A" w:rsidRPr="00B1089A" w:rsidTr="00B1089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1089A" w:rsidRPr="00B1089A" w:rsidRDefault="00B1089A" w:rsidP="00B1089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均衡成长</w:t>
            </w:r>
          </w:p>
        </w:tc>
      </w:tr>
      <w:tr w:rsidR="00B1089A" w:rsidRPr="00B1089A" w:rsidTr="00B1089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1089A" w:rsidRPr="00B1089A" w:rsidRDefault="00B1089A" w:rsidP="00B1089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积极进取</w:t>
            </w:r>
          </w:p>
        </w:tc>
      </w:tr>
      <w:tr w:rsidR="00B1089A" w:rsidRPr="00B1089A" w:rsidTr="00B1089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1089A" w:rsidRPr="00B1089A" w:rsidRDefault="00B1089A" w:rsidP="00B1089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B1089A" w:rsidRPr="00B1089A" w:rsidRDefault="00B1089A" w:rsidP="00B1089A">
            <w:pPr>
              <w:widowControl/>
              <w:jc w:val="center"/>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风险承受</w:t>
            </w:r>
          </w:p>
        </w:tc>
      </w:tr>
    </w:tbl>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（本评级为广东南粤银行股份有限公司内部评级，仅供参考）</w:t>
      </w:r>
    </w:p>
    <w:p w:rsidR="00B1089A" w:rsidRPr="00B1089A" w:rsidRDefault="00B1089A" w:rsidP="00B1089A">
      <w:pPr>
        <w:widowControl/>
        <w:jc w:val="left"/>
        <w:rPr>
          <w:rFonts w:ascii="楷体" w:eastAsia="楷体" w:hAnsi="楷体" w:cs="宋体"/>
          <w:color w:val="000000"/>
          <w:kern w:val="0"/>
          <w:sz w:val="24"/>
          <w:szCs w:val="24"/>
        </w:rPr>
      </w:pPr>
    </w:p>
    <w:p w:rsidR="00B1089A" w:rsidRPr="00B1089A" w:rsidRDefault="00B1089A" w:rsidP="00B1089A">
      <w:pPr>
        <w:widowControl/>
        <w:jc w:val="left"/>
        <w:rPr>
          <w:rFonts w:ascii="楷体" w:eastAsia="楷体" w:hAnsi="楷体" w:cs="宋体"/>
          <w:b/>
          <w:bCs/>
          <w:color w:val="000000"/>
          <w:kern w:val="0"/>
          <w:sz w:val="24"/>
          <w:szCs w:val="24"/>
        </w:rPr>
      </w:pPr>
      <w:r w:rsidRPr="00B1089A">
        <w:rPr>
          <w:rFonts w:ascii="楷体" w:eastAsia="楷体" w:hAnsi="楷体" w:cs="宋体" w:hint="eastAsia"/>
          <w:b/>
          <w:bCs/>
          <w:color w:val="000000"/>
          <w:kern w:val="0"/>
          <w:sz w:val="24"/>
          <w:szCs w:val="24"/>
        </w:rPr>
        <w:t>理财本金与收益测算</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1、理财计划本金与收益率测算</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（1）收益测算公式：</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本产品收益＝投资收益—投资相关成本</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理财产品到期支付款项=理财产品本金+本产品收益</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（2）收益测算说明：</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投资者到期收到款项按四舍五入法保留两位小数。</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2、投资者所得收益说明:</w:t>
      </w:r>
      <w:r w:rsidRPr="00B1089A">
        <w:rPr>
          <w:rFonts w:ascii="楷体" w:eastAsia="楷体" w:hAnsi="楷体" w:cs="宋体" w:hint="eastAsia"/>
          <w:color w:val="FF0000"/>
          <w:kern w:val="0"/>
          <w:sz w:val="24"/>
          <w:szCs w:val="24"/>
        </w:rPr>
        <w:t xml:space="preserve"> </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（1）</w:t>
      </w:r>
      <w:r w:rsidRPr="00B1089A">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计算公式：</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投资者理财收益=理财本金×投资者到期年化收益率×实际理财天数/365</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（2）计算示例： </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假设客户理财本金为50,000元，对应档次的预期最高年化参考收益率为5.45%，实际理财天数182天，</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A:若客户理财产品到期实现的年化收益率为5.55%，则投资者的理财收益为：</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投资者的理财收益=50,000×5.45%×182/365= 1,358.77元</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B:若客户理财产品到期实现的年化收益率为5.35%，则投资者的理财收益为：</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投资者的理财收益=50,000×5.35%×182/365= 1,333.84元</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（上述示例数据均采用假设数据计算，测算收益不等于实际收益，投资须谨慎）</w:t>
      </w:r>
    </w:p>
    <w:p w:rsidR="00B1089A" w:rsidRPr="00B1089A" w:rsidRDefault="00B1089A" w:rsidP="00B1089A">
      <w:pPr>
        <w:widowControl/>
        <w:jc w:val="left"/>
        <w:rPr>
          <w:rFonts w:ascii="楷体" w:eastAsia="楷体" w:hAnsi="楷体" w:cs="宋体"/>
          <w:b/>
          <w:bCs/>
          <w:color w:val="000000"/>
          <w:kern w:val="0"/>
          <w:sz w:val="24"/>
          <w:szCs w:val="24"/>
        </w:rPr>
      </w:pPr>
      <w:r w:rsidRPr="00B1089A">
        <w:rPr>
          <w:rFonts w:ascii="楷体" w:eastAsia="楷体" w:hAnsi="楷体" w:cs="宋体" w:hint="eastAsia"/>
          <w:b/>
          <w:bCs/>
          <w:color w:val="000000"/>
          <w:kern w:val="0"/>
          <w:sz w:val="24"/>
          <w:szCs w:val="24"/>
        </w:rPr>
        <w:lastRenderedPageBreak/>
        <w:t>提前终止及到期清算</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2、到期清算日：2016年3月</w:t>
      </w:r>
      <w:r w:rsidR="00F707B5">
        <w:rPr>
          <w:rFonts w:ascii="楷体" w:eastAsia="楷体" w:hAnsi="楷体" w:cs="宋体" w:hint="eastAsia"/>
          <w:color w:val="000000"/>
          <w:kern w:val="0"/>
          <w:sz w:val="24"/>
          <w:szCs w:val="24"/>
        </w:rPr>
        <w:t>9</w:t>
      </w:r>
      <w:r w:rsidRPr="00B1089A">
        <w:rPr>
          <w:rFonts w:ascii="楷体" w:eastAsia="楷体" w:hAnsi="楷体" w:cs="宋体" w:hint="eastAsia"/>
          <w:color w:val="000000"/>
          <w:kern w:val="0"/>
          <w:sz w:val="24"/>
          <w:szCs w:val="24"/>
        </w:rPr>
        <w:t>日至2016年3月</w:t>
      </w:r>
      <w:r w:rsidR="00F707B5">
        <w:rPr>
          <w:rFonts w:ascii="楷体" w:eastAsia="楷体" w:hAnsi="楷体" w:cs="宋体" w:hint="eastAsia"/>
          <w:color w:val="000000"/>
          <w:kern w:val="0"/>
          <w:sz w:val="24"/>
          <w:szCs w:val="24"/>
        </w:rPr>
        <w:t>10</w:t>
      </w:r>
      <w:bookmarkStart w:id="0" w:name="_GoBack"/>
      <w:bookmarkEnd w:id="0"/>
      <w:r w:rsidRPr="00B1089A">
        <w:rPr>
          <w:rFonts w:ascii="楷体" w:eastAsia="楷体" w:hAnsi="楷体" w:cs="宋体" w:hint="eastAsia"/>
          <w:color w:val="000000"/>
          <w:kern w:val="0"/>
          <w:sz w:val="24"/>
          <w:szCs w:val="24"/>
        </w:rPr>
        <w:t>日期间，逢假期顺延。适用假期：中国公众假期。清算期内本理财计划不计息。</w:t>
      </w:r>
    </w:p>
    <w:p w:rsidR="00B1089A" w:rsidRPr="00B1089A" w:rsidRDefault="00B1089A" w:rsidP="00B1089A">
      <w:pPr>
        <w:widowControl/>
        <w:jc w:val="left"/>
        <w:rPr>
          <w:rFonts w:ascii="楷体" w:eastAsia="楷体" w:hAnsi="楷体" w:cs="宋体"/>
          <w:color w:val="000000"/>
          <w:kern w:val="0"/>
          <w:sz w:val="24"/>
          <w:szCs w:val="24"/>
        </w:rPr>
      </w:pPr>
    </w:p>
    <w:p w:rsidR="00B1089A" w:rsidRPr="00B1089A" w:rsidRDefault="00B1089A" w:rsidP="00B1089A">
      <w:pPr>
        <w:widowControl/>
        <w:jc w:val="left"/>
        <w:rPr>
          <w:rFonts w:ascii="楷体" w:eastAsia="楷体" w:hAnsi="楷体" w:cs="宋体"/>
          <w:b/>
          <w:bCs/>
          <w:color w:val="000000"/>
          <w:kern w:val="0"/>
          <w:sz w:val="24"/>
          <w:szCs w:val="24"/>
        </w:rPr>
      </w:pPr>
      <w:r w:rsidRPr="00B1089A">
        <w:rPr>
          <w:rFonts w:ascii="楷体" w:eastAsia="楷体" w:hAnsi="楷体" w:cs="宋体" w:hint="eastAsia"/>
          <w:b/>
          <w:bCs/>
          <w:color w:val="000000"/>
          <w:kern w:val="0"/>
          <w:sz w:val="24"/>
          <w:szCs w:val="24"/>
        </w:rPr>
        <w:t>信息披露及投诉方式</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B1089A" w:rsidRPr="00B1089A" w:rsidRDefault="00B1089A" w:rsidP="00B1089A">
      <w:pPr>
        <w:widowControl/>
        <w:jc w:val="lef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B1089A" w:rsidRPr="00B1089A" w:rsidRDefault="00B1089A" w:rsidP="00B1089A">
      <w:pPr>
        <w:widowControl/>
        <w:jc w:val="left"/>
        <w:rPr>
          <w:rFonts w:ascii="楷体" w:eastAsia="楷体" w:hAnsi="楷体" w:cs="宋体"/>
          <w:color w:val="000000"/>
          <w:kern w:val="0"/>
          <w:sz w:val="24"/>
          <w:szCs w:val="24"/>
        </w:rPr>
      </w:pPr>
    </w:p>
    <w:p w:rsidR="00B1089A" w:rsidRPr="00B1089A" w:rsidRDefault="00B1089A" w:rsidP="00B1089A">
      <w:pPr>
        <w:widowControl/>
        <w:jc w:val="right"/>
        <w:rPr>
          <w:rFonts w:ascii="楷体" w:eastAsia="楷体" w:hAnsi="楷体" w:cs="宋体"/>
          <w:color w:val="000000"/>
          <w:kern w:val="0"/>
          <w:sz w:val="24"/>
          <w:szCs w:val="24"/>
        </w:rPr>
      </w:pPr>
      <w:r w:rsidRPr="00B1089A">
        <w:rPr>
          <w:rFonts w:ascii="楷体" w:eastAsia="楷体" w:hAnsi="楷体" w:cs="宋体" w:hint="eastAsia"/>
          <w:color w:val="000000"/>
          <w:kern w:val="0"/>
          <w:sz w:val="24"/>
          <w:szCs w:val="24"/>
        </w:rPr>
        <w:t>广东南粤银行股份有限公司</w:t>
      </w:r>
    </w:p>
    <w:p w:rsidR="00472756" w:rsidRPr="00B1089A" w:rsidRDefault="00472756" w:rsidP="00B1089A"/>
    <w:sectPr w:rsidR="00472756" w:rsidRPr="00B1089A"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5E" w:rsidRDefault="00F23E5E" w:rsidP="00EE40DB">
      <w:r>
        <w:separator/>
      </w:r>
    </w:p>
  </w:endnote>
  <w:endnote w:type="continuationSeparator" w:id="0">
    <w:p w:rsidR="00F23E5E" w:rsidRDefault="00F23E5E" w:rsidP="00EE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266993"/>
      <w:docPartObj>
        <w:docPartGallery w:val="Page Numbers (Bottom of Page)"/>
        <w:docPartUnique/>
      </w:docPartObj>
    </w:sdtPr>
    <w:sdtEndPr/>
    <w:sdtContent>
      <w:p w:rsidR="00EE40DB" w:rsidRDefault="00EE40DB">
        <w:pPr>
          <w:pStyle w:val="a4"/>
          <w:jc w:val="center"/>
        </w:pPr>
        <w:r>
          <w:fldChar w:fldCharType="begin"/>
        </w:r>
        <w:r>
          <w:instrText>PAGE   \* MERGEFORMAT</w:instrText>
        </w:r>
        <w:r>
          <w:fldChar w:fldCharType="separate"/>
        </w:r>
        <w:r w:rsidR="00F707B5" w:rsidRPr="00F707B5">
          <w:rPr>
            <w:noProof/>
            <w:lang w:val="zh-CN"/>
          </w:rPr>
          <w:t>4</w:t>
        </w:r>
        <w:r>
          <w:fldChar w:fldCharType="end"/>
        </w:r>
      </w:p>
    </w:sdtContent>
  </w:sdt>
  <w:p w:rsidR="00EE40DB" w:rsidRDefault="00EE40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5E" w:rsidRDefault="00F23E5E" w:rsidP="00EE40DB">
      <w:r>
        <w:separator/>
      </w:r>
    </w:p>
  </w:footnote>
  <w:footnote w:type="continuationSeparator" w:id="0">
    <w:p w:rsidR="00F23E5E" w:rsidRDefault="00F23E5E" w:rsidP="00EE4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80"/>
    <w:rsid w:val="00050A37"/>
    <w:rsid w:val="00115FBA"/>
    <w:rsid w:val="00196C71"/>
    <w:rsid w:val="001C7EEB"/>
    <w:rsid w:val="002813C0"/>
    <w:rsid w:val="003B3F80"/>
    <w:rsid w:val="00451C79"/>
    <w:rsid w:val="00472756"/>
    <w:rsid w:val="005E4CC8"/>
    <w:rsid w:val="0062403C"/>
    <w:rsid w:val="00682190"/>
    <w:rsid w:val="00707456"/>
    <w:rsid w:val="00711CC2"/>
    <w:rsid w:val="00726BEC"/>
    <w:rsid w:val="007528C1"/>
    <w:rsid w:val="00902538"/>
    <w:rsid w:val="00A054AF"/>
    <w:rsid w:val="00A362AA"/>
    <w:rsid w:val="00B1089A"/>
    <w:rsid w:val="00B53C63"/>
    <w:rsid w:val="00B65E80"/>
    <w:rsid w:val="00C36361"/>
    <w:rsid w:val="00C65D2F"/>
    <w:rsid w:val="00CC0E7D"/>
    <w:rsid w:val="00D03C0C"/>
    <w:rsid w:val="00D576CF"/>
    <w:rsid w:val="00D974CA"/>
    <w:rsid w:val="00E00F35"/>
    <w:rsid w:val="00E8620B"/>
    <w:rsid w:val="00EA7F96"/>
    <w:rsid w:val="00EE40DB"/>
    <w:rsid w:val="00F23E5E"/>
    <w:rsid w:val="00F47682"/>
    <w:rsid w:val="00F707B5"/>
    <w:rsid w:val="00FF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0DB"/>
    <w:rPr>
      <w:sz w:val="18"/>
      <w:szCs w:val="18"/>
    </w:rPr>
  </w:style>
  <w:style w:type="paragraph" w:styleId="a4">
    <w:name w:val="footer"/>
    <w:basedOn w:val="a"/>
    <w:link w:val="Char0"/>
    <w:uiPriority w:val="99"/>
    <w:unhideWhenUsed/>
    <w:rsid w:val="00EE40DB"/>
    <w:pPr>
      <w:tabs>
        <w:tab w:val="center" w:pos="4153"/>
        <w:tab w:val="right" w:pos="8306"/>
      </w:tabs>
      <w:snapToGrid w:val="0"/>
      <w:jc w:val="left"/>
    </w:pPr>
    <w:rPr>
      <w:sz w:val="18"/>
      <w:szCs w:val="18"/>
    </w:rPr>
  </w:style>
  <w:style w:type="character" w:customStyle="1" w:styleId="Char0">
    <w:name w:val="页脚 Char"/>
    <w:basedOn w:val="a0"/>
    <w:link w:val="a4"/>
    <w:uiPriority w:val="99"/>
    <w:rsid w:val="00EE40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0DB"/>
    <w:rPr>
      <w:sz w:val="18"/>
      <w:szCs w:val="18"/>
    </w:rPr>
  </w:style>
  <w:style w:type="paragraph" w:styleId="a4">
    <w:name w:val="footer"/>
    <w:basedOn w:val="a"/>
    <w:link w:val="Char0"/>
    <w:uiPriority w:val="99"/>
    <w:unhideWhenUsed/>
    <w:rsid w:val="00EE40DB"/>
    <w:pPr>
      <w:tabs>
        <w:tab w:val="center" w:pos="4153"/>
        <w:tab w:val="right" w:pos="8306"/>
      </w:tabs>
      <w:snapToGrid w:val="0"/>
      <w:jc w:val="left"/>
    </w:pPr>
    <w:rPr>
      <w:sz w:val="18"/>
      <w:szCs w:val="18"/>
    </w:rPr>
  </w:style>
  <w:style w:type="character" w:customStyle="1" w:styleId="Char0">
    <w:name w:val="页脚 Char"/>
    <w:basedOn w:val="a0"/>
    <w:link w:val="a4"/>
    <w:uiPriority w:val="99"/>
    <w:rsid w:val="00EE40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98588">
      <w:bodyDiv w:val="1"/>
      <w:marLeft w:val="0"/>
      <w:marRight w:val="0"/>
      <w:marTop w:val="0"/>
      <w:marBottom w:val="0"/>
      <w:divBdr>
        <w:top w:val="none" w:sz="0" w:space="0" w:color="auto"/>
        <w:left w:val="none" w:sz="0" w:space="0" w:color="auto"/>
        <w:bottom w:val="none" w:sz="0" w:space="0" w:color="auto"/>
        <w:right w:val="none" w:sz="0" w:space="0" w:color="auto"/>
      </w:divBdr>
    </w:div>
    <w:div w:id="1336886515">
      <w:bodyDiv w:val="1"/>
      <w:marLeft w:val="0"/>
      <w:marRight w:val="0"/>
      <w:marTop w:val="0"/>
      <w:marBottom w:val="0"/>
      <w:divBdr>
        <w:top w:val="none" w:sz="0" w:space="0" w:color="auto"/>
        <w:left w:val="none" w:sz="0" w:space="0" w:color="auto"/>
        <w:bottom w:val="none" w:sz="0" w:space="0" w:color="auto"/>
        <w:right w:val="none" w:sz="0" w:space="0" w:color="auto"/>
      </w:divBdr>
    </w:div>
    <w:div w:id="19804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564</Words>
  <Characters>3217</Characters>
  <Application>Microsoft Office Word</Application>
  <DocSecurity>0</DocSecurity>
  <Lines>26</Lines>
  <Paragraphs>7</Paragraphs>
  <ScaleCrop>false</ScaleCrop>
  <Company>china</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2015-08-31T07:35:00Z</dcterms:created>
  <dcterms:modified xsi:type="dcterms:W3CDTF">2015-09-02T01:11:00Z</dcterms:modified>
</cp:coreProperties>
</file>