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5E" w:rsidRPr="00F45DB3" w:rsidRDefault="00DF0717" w:rsidP="00422448">
      <w:pPr>
        <w:jc w:val="center"/>
        <w:rPr>
          <w:rFonts w:ascii="楷体_GB2312" w:eastAsia="楷体_GB2312" w:hAnsi="宋体"/>
          <w:b/>
          <w:color w:val="000000"/>
        </w:rPr>
      </w:pPr>
      <w:r w:rsidRPr="004D43A6">
        <w:rPr>
          <w:rFonts w:ascii="楷体_GB2312" w:eastAsia="楷体_GB2312" w:hint="eastAsia"/>
          <w:b/>
          <w:sz w:val="36"/>
          <w:szCs w:val="36"/>
        </w:rPr>
        <w:t xml:space="preserve"> </w:t>
      </w:r>
      <w:r w:rsidRPr="00DF0717">
        <w:rPr>
          <w:rFonts w:ascii="楷体_GB2312" w:eastAsia="楷体_GB2312" w:hAnsi="宋体" w:hint="eastAsia"/>
          <w:b/>
          <w:color w:val="000000"/>
        </w:rPr>
        <w:t>“宝盈理财”</w:t>
      </w:r>
      <w:r w:rsidR="004161F0">
        <w:rPr>
          <w:rFonts w:ascii="楷体_GB2312" w:eastAsia="楷体_GB2312" w:hAnsi="宋体" w:hint="eastAsia"/>
          <w:b/>
          <w:color w:val="000000"/>
        </w:rPr>
        <w:t>卓越</w:t>
      </w:r>
      <w:r w:rsidR="00901DD0">
        <w:rPr>
          <w:rFonts w:ascii="楷体_GB2312" w:eastAsia="楷体_GB2312" w:hAnsi="宋体" w:hint="eastAsia"/>
          <w:b/>
          <w:color w:val="000000"/>
        </w:rPr>
        <w:t>660</w:t>
      </w:r>
      <w:r w:rsidR="00212452">
        <w:rPr>
          <w:rFonts w:ascii="楷体_GB2312" w:eastAsia="楷体_GB2312" w:hAnsi="宋体" w:hint="eastAsia"/>
          <w:b/>
          <w:color w:val="000000"/>
        </w:rPr>
        <w:t>号</w:t>
      </w:r>
      <w:r w:rsidR="00D976EF">
        <w:rPr>
          <w:rFonts w:ascii="楷体_GB2312" w:eastAsia="楷体_GB2312" w:hAnsi="宋体" w:hint="eastAsia"/>
          <w:b/>
          <w:color w:val="000000"/>
        </w:rPr>
        <w:t>人民币</w:t>
      </w:r>
      <w:r w:rsidR="004161F0">
        <w:rPr>
          <w:rFonts w:ascii="楷体_GB2312" w:eastAsia="楷体_GB2312" w:hAnsi="宋体" w:hint="eastAsia"/>
          <w:b/>
          <w:color w:val="000000"/>
        </w:rPr>
        <w:t>理财</w:t>
      </w:r>
      <w:r>
        <w:rPr>
          <w:rFonts w:ascii="楷体_GB2312" w:eastAsia="楷体_GB2312" w:hAnsi="宋体" w:hint="eastAsia"/>
          <w:b/>
          <w:color w:val="000000"/>
        </w:rPr>
        <w:t>产品</w:t>
      </w:r>
      <w:r w:rsidR="0044325E" w:rsidRPr="00F45DB3">
        <w:rPr>
          <w:rFonts w:ascii="楷体_GB2312" w:eastAsia="楷体_GB2312" w:hAnsi="宋体" w:hint="eastAsia"/>
          <w:b/>
          <w:color w:val="000000"/>
        </w:rPr>
        <w:t>说明书</w:t>
      </w:r>
    </w:p>
    <w:p w:rsidR="0044325E" w:rsidRPr="007C0FEF" w:rsidRDefault="0044325E" w:rsidP="0044325E">
      <w:pPr>
        <w:spacing w:line="360" w:lineRule="auto"/>
        <w:jc w:val="center"/>
        <w:rPr>
          <w:rFonts w:ascii="楷体_GB2312" w:eastAsia="楷体_GB2312" w:hAnsi="宋体"/>
          <w:color w:val="000000"/>
          <w:sz w:val="28"/>
          <w:szCs w:val="28"/>
        </w:rPr>
      </w:pP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客户须知</w:t>
      </w:r>
    </w:p>
    <w:p w:rsidR="0044325E" w:rsidRPr="007C030C" w:rsidRDefault="0044325E" w:rsidP="007C030C">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本说明书与</w:t>
      </w:r>
      <w:r w:rsidR="002F3421">
        <w:rPr>
          <w:rFonts w:ascii="楷体_GB2312" w:eastAsia="楷体_GB2312" w:hAnsi="宋体" w:cs="宋体" w:hint="eastAsia"/>
          <w:color w:val="000000"/>
          <w:kern w:val="0"/>
          <w:sz w:val="24"/>
          <w:szCs w:val="24"/>
        </w:rPr>
        <w:t>《</w:t>
      </w:r>
      <w:r w:rsidR="002F3421" w:rsidRPr="006D20EC">
        <w:rPr>
          <w:rFonts w:ascii="楷体_GB2312" w:eastAsia="楷体_GB2312" w:hAnsi="宋体" w:cs="宋体" w:hint="eastAsia"/>
          <w:color w:val="000000"/>
          <w:kern w:val="0"/>
          <w:sz w:val="24"/>
          <w:szCs w:val="24"/>
        </w:rPr>
        <w:t>广东南粤银行理财产品</w:t>
      </w:r>
      <w:r w:rsidR="002F3421">
        <w:rPr>
          <w:rFonts w:ascii="楷体_GB2312" w:eastAsia="楷体_GB2312" w:hAnsi="宋体" w:cs="宋体" w:hint="eastAsia"/>
          <w:color w:val="000000"/>
          <w:kern w:val="0"/>
          <w:sz w:val="24"/>
          <w:szCs w:val="24"/>
        </w:rPr>
        <w:t>客户协议书》、</w:t>
      </w:r>
      <w:r w:rsidR="007C030C" w:rsidRPr="007C030C">
        <w:rPr>
          <w:rFonts w:ascii="楷体_GB2312" w:eastAsia="楷体_GB2312" w:hAnsi="宋体" w:cs="宋体" w:hint="eastAsia"/>
          <w:color w:val="000000"/>
          <w:kern w:val="0"/>
          <w:sz w:val="24"/>
          <w:szCs w:val="24"/>
        </w:rPr>
        <w:t>《</w:t>
      </w:r>
      <w:r w:rsidR="00C945A8" w:rsidRPr="006D20EC">
        <w:rPr>
          <w:rFonts w:ascii="楷体_GB2312" w:eastAsia="楷体_GB2312" w:hAnsi="宋体" w:cs="宋体" w:hint="eastAsia"/>
          <w:color w:val="000000"/>
          <w:kern w:val="0"/>
          <w:sz w:val="24"/>
          <w:szCs w:val="24"/>
        </w:rPr>
        <w:t>广东南粤银行</w:t>
      </w:r>
      <w:r w:rsidR="007C030C" w:rsidRPr="006D20EC">
        <w:rPr>
          <w:rFonts w:ascii="楷体_GB2312" w:eastAsia="楷体_GB2312" w:hAnsi="宋体" w:cs="宋体" w:hint="eastAsia"/>
          <w:color w:val="000000"/>
          <w:kern w:val="0"/>
          <w:sz w:val="24"/>
          <w:szCs w:val="24"/>
        </w:rPr>
        <w:t>理财产品适合度评估书》</w:t>
      </w:r>
      <w:r w:rsidR="007C030C" w:rsidRPr="007C030C">
        <w:rPr>
          <w:rFonts w:ascii="楷体_GB2312" w:eastAsia="楷体_GB2312" w:hAnsi="宋体" w:cs="宋体" w:hint="eastAsia"/>
          <w:color w:val="000000"/>
          <w:kern w:val="0"/>
          <w:sz w:val="24"/>
          <w:szCs w:val="24"/>
        </w:rPr>
        <w:t>、</w:t>
      </w:r>
      <w:r w:rsidR="00C679A2">
        <w:rPr>
          <w:rFonts w:ascii="楷体_GB2312" w:eastAsia="楷体_GB2312" w:hAnsi="宋体" w:cs="宋体" w:hint="eastAsia"/>
          <w:color w:val="000000"/>
          <w:kern w:val="0"/>
          <w:sz w:val="24"/>
          <w:szCs w:val="24"/>
        </w:rPr>
        <w:t>《广东南粤银行理财产品客户权益须知》</w:t>
      </w:r>
      <w:r w:rsidR="008F3567">
        <w:rPr>
          <w:rFonts w:ascii="楷体_GB2312" w:eastAsia="楷体_GB2312" w:hAnsi="宋体" w:cs="宋体" w:hint="eastAsia"/>
          <w:color w:val="000000"/>
          <w:kern w:val="0"/>
          <w:sz w:val="24"/>
          <w:szCs w:val="24"/>
        </w:rPr>
        <w:t>、</w:t>
      </w:r>
      <w:r w:rsidR="007C030C" w:rsidRPr="007C030C">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00210EB4">
        <w:rPr>
          <w:rFonts w:ascii="楷体_GB2312" w:eastAsia="楷体_GB2312" w:hAnsi="宋体" w:cs="宋体" w:hint="eastAsia"/>
          <w:color w:val="000000"/>
          <w:kern w:val="0"/>
          <w:sz w:val="24"/>
          <w:szCs w:val="24"/>
        </w:rPr>
        <w:t>理财产品风险提示书》共同构成完整的不可分割的理财合同</w:t>
      </w:r>
      <w:r w:rsidRPr="007C030C">
        <w:rPr>
          <w:rFonts w:ascii="楷体_GB2312" w:eastAsia="楷体_GB2312" w:hAnsi="宋体" w:cs="宋体" w:hint="eastAsia"/>
          <w:color w:val="000000"/>
          <w:kern w:val="0"/>
          <w:sz w:val="24"/>
          <w:szCs w:val="24"/>
        </w:rPr>
        <w:t>。</w:t>
      </w:r>
    </w:p>
    <w:p w:rsidR="0044325E" w:rsidRPr="00F45DB3" w:rsidRDefault="007C030C" w:rsidP="0044325E">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理财非存款，产品有风险，投资需谨慎。</w:t>
      </w:r>
      <w:r w:rsidR="0044325E" w:rsidRPr="00F45DB3">
        <w:rPr>
          <w:rFonts w:ascii="楷体_GB2312" w:eastAsia="楷体_GB2312" w:hAnsi="宋体" w:cs="宋体" w:hint="eastAsia"/>
          <w:color w:val="000000"/>
          <w:kern w:val="0"/>
          <w:sz w:val="24"/>
          <w:szCs w:val="24"/>
        </w:rPr>
        <w:t>在购买本理财产品前，请投资者确保完全明白此类投资的性质、投资所涉及的风险以及自身承受风险的能力。投资者若对本说明书的内容有任何疑问，请向</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0044325E" w:rsidRPr="00F45DB3">
        <w:rPr>
          <w:rFonts w:ascii="楷体_GB2312" w:eastAsia="楷体_GB2312" w:hAnsi="宋体" w:cs="宋体" w:hint="eastAsia"/>
          <w:color w:val="000000"/>
          <w:kern w:val="0"/>
          <w:sz w:val="24"/>
          <w:szCs w:val="24"/>
        </w:rPr>
        <w:t>咨询。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本说明书所引用的资料及数据仅供投资者参考，均不构成对投资者的推荐和承诺。</w:t>
      </w:r>
    </w:p>
    <w:p w:rsidR="0044325E" w:rsidRPr="00F45DB3" w:rsidRDefault="0044325E" w:rsidP="0044325E">
      <w:pPr>
        <w:widowControl/>
        <w:spacing w:line="360" w:lineRule="exact"/>
        <w:ind w:firstLineChars="200" w:firstLine="480"/>
        <w:jc w:val="left"/>
        <w:rPr>
          <w:rFonts w:ascii="楷体_GB2312" w:eastAsia="楷体_GB2312" w:hAnsi="宋体" w:cs="宋体"/>
          <w:b/>
          <w:color w:val="000000"/>
          <w:kern w:val="0"/>
          <w:sz w:val="24"/>
          <w:szCs w:val="24"/>
        </w:rPr>
      </w:pPr>
      <w:r w:rsidRPr="00F45DB3">
        <w:rPr>
          <w:rFonts w:ascii="楷体_GB2312" w:eastAsia="楷体_GB2312" w:hAnsi="宋体" w:cs="宋体" w:hint="eastAsia"/>
          <w:color w:val="000000"/>
          <w:kern w:val="0"/>
          <w:sz w:val="24"/>
          <w:szCs w:val="24"/>
        </w:rPr>
        <w:t>本说明书所有条款解释权归</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股份有限公司所有。</w:t>
      </w:r>
    </w:p>
    <w:p w:rsidR="0044325E" w:rsidRPr="00F45DB3" w:rsidRDefault="0044325E" w:rsidP="00384456">
      <w:pPr>
        <w:widowControl/>
        <w:spacing w:line="360" w:lineRule="exact"/>
        <w:ind w:firstLineChars="200" w:firstLine="482"/>
        <w:jc w:val="left"/>
        <w:rPr>
          <w:rFonts w:ascii="楷体_GB2312" w:eastAsia="楷体_GB2312" w:hAnsi="宋体" w:cs="宋体"/>
          <w:b/>
          <w:color w:val="000000"/>
          <w:kern w:val="0"/>
          <w:sz w:val="24"/>
          <w:szCs w:val="24"/>
        </w:rPr>
      </w:pPr>
    </w:p>
    <w:p w:rsidR="0044325E" w:rsidRPr="00F45DB3" w:rsidRDefault="0044325E" w:rsidP="00384456">
      <w:pPr>
        <w:spacing w:line="360" w:lineRule="exact"/>
        <w:ind w:left="1231" w:hangingChars="511" w:hanging="1231"/>
        <w:rPr>
          <w:rFonts w:ascii="楷体_GB2312" w:eastAsia="楷体_GB2312" w:hAnsi="宋体"/>
          <w:b/>
          <w:bCs/>
          <w:color w:val="000000"/>
          <w:kern w:val="0"/>
          <w:sz w:val="24"/>
          <w:szCs w:val="24"/>
        </w:rPr>
      </w:pPr>
      <w:r w:rsidRPr="00F45DB3">
        <w:rPr>
          <w:rFonts w:ascii="楷体_GB2312" w:eastAsia="楷体_GB2312" w:hAnsi="宋体" w:hint="eastAsia"/>
          <w:b/>
          <w:bCs/>
          <w:color w:val="000000"/>
          <w:kern w:val="0"/>
          <w:sz w:val="24"/>
          <w:szCs w:val="24"/>
        </w:rPr>
        <w:t>产品定义</w:t>
      </w:r>
    </w:p>
    <w:p w:rsidR="0044325E" w:rsidRPr="00F45DB3" w:rsidRDefault="0044325E" w:rsidP="0044325E">
      <w:pPr>
        <w:spacing w:line="360" w:lineRule="exact"/>
        <w:ind w:firstLineChars="220" w:firstLine="528"/>
        <w:rPr>
          <w:rFonts w:ascii="楷体_GB2312" w:eastAsia="楷体_GB2312" w:hAnsi="宋体"/>
          <w:color w:val="000000"/>
          <w:kern w:val="0"/>
          <w:sz w:val="24"/>
          <w:szCs w:val="24"/>
        </w:rPr>
      </w:pPr>
      <w:r w:rsidRPr="00F45DB3">
        <w:rPr>
          <w:rFonts w:ascii="楷体_GB2312" w:eastAsia="楷体_GB2312" w:hAnsi="宋体" w:hint="eastAsia"/>
          <w:color w:val="000000"/>
          <w:kern w:val="0"/>
          <w:sz w:val="24"/>
          <w:szCs w:val="24"/>
        </w:rPr>
        <w:t>本产品是指投资人将人民币资金存放在我行，并委托我行进行资金运作的理财产品。</w:t>
      </w:r>
    </w:p>
    <w:p w:rsidR="006349F0" w:rsidRDefault="006349F0" w:rsidP="0044325E">
      <w:pPr>
        <w:spacing w:line="360" w:lineRule="exact"/>
        <w:rPr>
          <w:rFonts w:ascii="楷体_GB2312" w:eastAsia="楷体_GB2312" w:hAnsi="宋体"/>
          <w:b/>
          <w:bCs/>
          <w:color w:val="000000"/>
          <w:sz w:val="24"/>
          <w:szCs w:val="24"/>
        </w:rPr>
      </w:pPr>
    </w:p>
    <w:p w:rsidR="0044325E" w:rsidRPr="00F45DB3" w:rsidRDefault="0044325E" w:rsidP="0044325E">
      <w:pPr>
        <w:spacing w:line="360" w:lineRule="exact"/>
        <w:rPr>
          <w:rFonts w:ascii="楷体_GB2312" w:eastAsia="楷体_GB2312" w:hAnsi="宋体"/>
          <w:color w:val="000000"/>
          <w:sz w:val="24"/>
          <w:szCs w:val="24"/>
        </w:rPr>
      </w:pPr>
      <w:r w:rsidRPr="00F45DB3">
        <w:rPr>
          <w:rFonts w:ascii="楷体_GB2312" w:eastAsia="楷体_GB2312" w:hAnsi="宋体" w:hint="eastAsia"/>
          <w:b/>
          <w:bCs/>
          <w:color w:val="000000"/>
          <w:sz w:val="24"/>
          <w:szCs w:val="24"/>
        </w:rPr>
        <w:t>产品概述</w:t>
      </w:r>
      <w:r w:rsidRPr="00F45DB3">
        <w:rPr>
          <w:rFonts w:ascii="楷体_GB2312" w:eastAsia="楷体_GB2312" w:hAnsi="宋体" w:hint="eastAsia"/>
          <w:color w:val="000000"/>
          <w:sz w:val="24"/>
          <w:szCs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44325E" w:rsidRPr="00F45DB3">
        <w:trPr>
          <w:cantSplit/>
          <w:trHeight w:val="355"/>
        </w:trPr>
        <w:tc>
          <w:tcPr>
            <w:tcW w:w="2448" w:type="dxa"/>
            <w:vMerge w:val="restart"/>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产品名称</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161F0" w:rsidP="00AA519D">
            <w:pPr>
              <w:pStyle w:val="a4"/>
              <w:spacing w:line="360" w:lineRule="exact"/>
              <w:ind w:firstLineChars="0" w:firstLine="0"/>
              <w:rPr>
                <w:rFonts w:ascii="楷体_GB2312" w:eastAsia="楷体_GB2312" w:hAnsi="宋体"/>
                <w:b/>
                <w:color w:val="000000"/>
                <w:szCs w:val="24"/>
              </w:rPr>
            </w:pPr>
            <w:r w:rsidRPr="004161F0">
              <w:rPr>
                <w:rFonts w:ascii="楷体_GB2312" w:eastAsia="楷体_GB2312" w:hAnsi="宋体" w:cs="仿宋_GB2312" w:hint="eastAsia"/>
                <w:color w:val="000000"/>
                <w:spacing w:val="-6"/>
              </w:rPr>
              <w:t>“宝盈理财”卓越</w:t>
            </w:r>
            <w:r w:rsidR="00901DD0">
              <w:rPr>
                <w:rFonts w:ascii="楷体_GB2312" w:eastAsia="楷体_GB2312" w:hAnsi="宋体" w:cs="仿宋_GB2312" w:hint="eastAsia"/>
                <w:color w:val="000000"/>
                <w:spacing w:val="-6"/>
              </w:rPr>
              <w:t>660</w:t>
            </w:r>
            <w:r w:rsidR="00212452">
              <w:rPr>
                <w:rFonts w:ascii="楷体_GB2312" w:eastAsia="楷体_GB2312" w:hAnsi="宋体" w:cs="仿宋_GB2312" w:hint="eastAsia"/>
                <w:color w:val="000000"/>
                <w:spacing w:val="-6"/>
              </w:rPr>
              <w:t>号</w:t>
            </w:r>
            <w:r w:rsidR="00D976EF">
              <w:rPr>
                <w:rFonts w:ascii="楷体_GB2312" w:eastAsia="楷体_GB2312" w:hAnsi="宋体" w:cs="仿宋_GB2312" w:hint="eastAsia"/>
                <w:color w:val="000000"/>
                <w:spacing w:val="-6"/>
              </w:rPr>
              <w:t>人民币理财产品</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b/>
                <w:color w:val="000000"/>
                <w:sz w:val="24"/>
                <w:szCs w:val="24"/>
              </w:rPr>
            </w:pP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424B6A">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代码：</w:t>
            </w:r>
            <w:r w:rsidR="00800E05">
              <w:rPr>
                <w:rFonts w:ascii="楷体_GB2312" w:eastAsia="楷体_GB2312" w:hAnsi="宋体" w:cs="宋体" w:hint="eastAsia"/>
                <w:color w:val="000000"/>
                <w:kern w:val="0"/>
              </w:rPr>
              <w:t>GDNY</w:t>
            </w:r>
            <w:r w:rsidR="00800E05" w:rsidRPr="001238A5">
              <w:rPr>
                <w:rFonts w:ascii="楷体_GB2312" w:eastAsia="楷体_GB2312" w:hAnsi="宋体" w:cs="宋体" w:hint="eastAsia"/>
                <w:color w:val="000000"/>
                <w:kern w:val="0"/>
              </w:rPr>
              <w:t>_ZY_</w:t>
            </w:r>
            <w:r w:rsidR="00901DD0">
              <w:rPr>
                <w:rFonts w:ascii="楷体_GB2312" w:eastAsia="楷体_GB2312" w:hAnsi="宋体" w:cs="宋体"/>
                <w:color w:val="000000"/>
                <w:kern w:val="0"/>
              </w:rPr>
              <w:t>660</w:t>
            </w:r>
            <w:r w:rsidR="00507730" w:rsidRPr="00507730">
              <w:rPr>
                <w:rFonts w:ascii="楷体_GB2312" w:eastAsia="楷体_GB2312" w:hAnsi="宋体" w:cs="宋体" w:hint="eastAsia"/>
                <w:color w:val="000000"/>
                <w:kern w:val="0"/>
              </w:rPr>
              <w:t>（登记号：</w:t>
            </w:r>
            <w:r w:rsidR="002529AA" w:rsidRPr="002529AA">
              <w:rPr>
                <w:color w:val="000000"/>
                <w:sz w:val="22"/>
                <w:szCs w:val="22"/>
              </w:rPr>
              <w:t>C1083015000</w:t>
            </w:r>
            <w:r w:rsidR="00E4269F">
              <w:rPr>
                <w:rFonts w:hint="eastAsia"/>
                <w:color w:val="000000"/>
                <w:sz w:val="22"/>
                <w:szCs w:val="22"/>
              </w:rPr>
              <w:t>2</w:t>
            </w:r>
            <w:r w:rsidR="00424B6A">
              <w:rPr>
                <w:rFonts w:hint="eastAsia"/>
                <w:color w:val="000000"/>
                <w:sz w:val="22"/>
                <w:szCs w:val="22"/>
              </w:rPr>
              <w:t>5</w:t>
            </w:r>
            <w:bookmarkStart w:id="0" w:name="_GoBack"/>
            <w:bookmarkEnd w:id="0"/>
            <w:r w:rsidR="00901DD0">
              <w:rPr>
                <w:rFonts w:hint="eastAsia"/>
                <w:color w:val="000000"/>
                <w:sz w:val="22"/>
                <w:szCs w:val="22"/>
              </w:rPr>
              <w:t>5</w:t>
            </w:r>
            <w:r w:rsidR="00507730" w:rsidRPr="00507730">
              <w:rPr>
                <w:rFonts w:ascii="楷体_GB2312" w:eastAsia="楷体_GB2312" w:hAnsi="宋体" w:cs="宋体" w:hint="eastAsia"/>
                <w:color w:val="000000"/>
                <w:kern w:val="0"/>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目标客户</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800E05" w:rsidP="00FC2EA3">
            <w:pPr>
              <w:pStyle w:val="a4"/>
              <w:spacing w:line="360" w:lineRule="exact"/>
              <w:ind w:firstLineChars="0" w:firstLine="0"/>
              <w:rPr>
                <w:rFonts w:ascii="楷体_GB2312" w:eastAsia="楷体_GB2312" w:hAnsi="宋体"/>
                <w:b/>
                <w:color w:val="000000"/>
                <w:szCs w:val="24"/>
              </w:rPr>
            </w:pPr>
            <w:r w:rsidRPr="001238A5">
              <w:rPr>
                <w:rFonts w:ascii="楷体_GB2312" w:eastAsia="楷体_GB2312" w:hAnsi="宋体" w:cs="宋体" w:hint="eastAsia"/>
                <w:color w:val="000000"/>
                <w:kern w:val="0"/>
              </w:rPr>
              <w:t>经我行风险评估，评定为稳健型、平衡型、成长型、进取型的</w:t>
            </w:r>
            <w:r w:rsidR="00FC64EB">
              <w:rPr>
                <w:rFonts w:ascii="楷体_GB2312" w:eastAsia="楷体_GB2312" w:hAnsi="宋体" w:cs="宋体" w:hint="eastAsia"/>
                <w:color w:val="000000"/>
                <w:kern w:val="0"/>
              </w:rPr>
              <w:t>个人</w:t>
            </w:r>
            <w:r>
              <w:rPr>
                <w:rFonts w:ascii="楷体_GB2312" w:eastAsia="楷体_GB2312" w:hAnsi="宋体" w:cs="宋体" w:hint="eastAsia"/>
                <w:color w:val="000000"/>
                <w:kern w:val="0"/>
              </w:rPr>
              <w:t>客户</w:t>
            </w:r>
            <w:r w:rsidR="008E79FD">
              <w:rPr>
                <w:rFonts w:ascii="楷体_GB2312" w:eastAsia="楷体_GB2312" w:hAnsi="宋体" w:cs="宋体" w:hint="eastAsia"/>
                <w:color w:val="000000"/>
                <w:kern w:val="0"/>
              </w:rPr>
              <w:t>和</w:t>
            </w:r>
            <w:r w:rsidR="008E79FD">
              <w:rPr>
                <w:rFonts w:ascii="楷体_GB2312" w:eastAsia="楷体_GB2312" w:hAnsi="宋体" w:cs="宋体"/>
                <w:color w:val="000000"/>
                <w:kern w:val="0"/>
              </w:rPr>
              <w:t>机构客户</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auto"/>
              <w:jc w:val="center"/>
              <w:rPr>
                <w:rFonts w:ascii="楷体_GB2312" w:eastAsia="楷体_GB2312"/>
                <w:color w:val="000000"/>
                <w:sz w:val="24"/>
              </w:rPr>
            </w:pPr>
            <w:r w:rsidRPr="00F45DB3">
              <w:rPr>
                <w:rFonts w:ascii="楷体_GB2312" w:eastAsia="楷体_GB2312" w:hint="eastAsia"/>
                <w:color w:val="000000"/>
                <w:sz w:val="24"/>
              </w:rPr>
              <w:t>购买方式</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C945A8" w:rsidP="00C44902">
            <w:pPr>
              <w:spacing w:line="360" w:lineRule="auto"/>
              <w:rPr>
                <w:rFonts w:ascii="楷体_GB2312" w:eastAsia="楷体_GB2312"/>
                <w:color w:val="000000"/>
                <w:sz w:val="24"/>
              </w:rPr>
            </w:pPr>
            <w:r>
              <w:rPr>
                <w:rFonts w:ascii="楷体_GB2312" w:eastAsia="楷体_GB2312" w:hint="eastAsia"/>
                <w:color w:val="000000"/>
                <w:sz w:val="24"/>
              </w:rPr>
              <w:t>广东南粤银行</w:t>
            </w:r>
            <w:r w:rsidR="00994D65">
              <w:rPr>
                <w:rFonts w:ascii="楷体_GB2312" w:eastAsia="楷体_GB2312" w:hint="eastAsia"/>
                <w:color w:val="000000"/>
                <w:sz w:val="24"/>
              </w:rPr>
              <w:t>各网点</w:t>
            </w:r>
            <w:r w:rsidR="009E622F" w:rsidRPr="00F45DB3">
              <w:rPr>
                <w:rFonts w:ascii="楷体_GB2312" w:eastAsia="楷体_GB2312" w:hint="eastAsia"/>
                <w:color w:val="000000"/>
                <w:sz w:val="24"/>
              </w:rPr>
              <w:t>认购</w:t>
            </w:r>
            <w:r w:rsidR="00E376CA" w:rsidRPr="00A94136">
              <w:rPr>
                <w:rFonts w:ascii="楷体_GB2312" w:eastAsia="楷体_GB2312" w:hint="eastAsia"/>
                <w:color w:val="000000"/>
                <w:sz w:val="24"/>
              </w:rPr>
              <w:t>或</w:t>
            </w:r>
            <w:r w:rsidR="00E376CA">
              <w:rPr>
                <w:rFonts w:ascii="楷体_GB2312" w:eastAsia="楷体_GB2312" w:hint="eastAsia"/>
                <w:color w:val="000000"/>
                <w:sz w:val="24"/>
              </w:rPr>
              <w:t>广东南粤银行</w:t>
            </w:r>
            <w:r w:rsidR="00E376CA" w:rsidRPr="00A94136">
              <w:rPr>
                <w:rFonts w:ascii="楷体_GB2312" w:eastAsia="楷体_GB2312" w:hint="eastAsia"/>
                <w:color w:val="000000"/>
                <w:sz w:val="24"/>
              </w:rPr>
              <w:t>网银认购</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期限</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901DD0" w:rsidP="00D27591">
            <w:pPr>
              <w:pStyle w:val="a4"/>
              <w:spacing w:line="360" w:lineRule="exact"/>
              <w:ind w:firstLineChars="0" w:firstLine="0"/>
              <w:rPr>
                <w:rFonts w:ascii="楷体_GB2312" w:eastAsia="楷体_GB2312" w:hAnsi="宋体"/>
                <w:b/>
                <w:color w:val="000000"/>
                <w:szCs w:val="24"/>
              </w:rPr>
            </w:pPr>
            <w:r>
              <w:rPr>
                <w:rFonts w:ascii="楷体_GB2312" w:eastAsia="楷体_GB2312" w:hAnsi="宋体"/>
                <w:b/>
                <w:color w:val="000000"/>
                <w:szCs w:val="24"/>
              </w:rPr>
              <w:t>77</w:t>
            </w:r>
            <w:r w:rsidR="0044325E" w:rsidRPr="00F45DB3">
              <w:rPr>
                <w:rFonts w:ascii="楷体_GB2312" w:eastAsia="楷体_GB2312" w:hAnsi="宋体" w:hint="eastAsia"/>
                <w:color w:val="000000"/>
                <w:szCs w:val="24"/>
              </w:rPr>
              <w:t>天</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投资及收益币种</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人民币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产品类型</w:t>
            </w:r>
          </w:p>
        </w:tc>
        <w:tc>
          <w:tcPr>
            <w:tcW w:w="6480" w:type="dxa"/>
            <w:tcBorders>
              <w:top w:val="single" w:sz="4" w:space="0" w:color="auto"/>
              <w:left w:val="single" w:sz="4" w:space="0" w:color="auto"/>
              <w:bottom w:val="single" w:sz="4" w:space="0" w:color="auto"/>
              <w:right w:val="single" w:sz="4" w:space="0" w:color="auto"/>
            </w:tcBorders>
          </w:tcPr>
          <w:p w:rsidR="0044325E" w:rsidRPr="00A73075" w:rsidRDefault="003202B3" w:rsidP="007B3145">
            <w:pPr>
              <w:pStyle w:val="a3"/>
              <w:spacing w:line="360" w:lineRule="exact"/>
              <w:rPr>
                <w:rFonts w:ascii="楷体_GB2312" w:eastAsia="楷体_GB2312" w:hAnsi="宋体"/>
                <w:b/>
                <w:color w:val="000000"/>
                <w:sz w:val="24"/>
                <w:szCs w:val="24"/>
              </w:rPr>
            </w:pPr>
            <w:r w:rsidRPr="00A73075">
              <w:rPr>
                <w:rFonts w:ascii="楷体_GB2312" w:eastAsia="楷体_GB2312" w:hAnsi="宋体" w:hint="eastAsia"/>
                <w:b/>
                <w:color w:val="000000"/>
                <w:sz w:val="24"/>
                <w:szCs w:val="24"/>
              </w:rPr>
              <w:t>非</w:t>
            </w:r>
            <w:r w:rsidR="0044325E" w:rsidRPr="00A73075">
              <w:rPr>
                <w:rFonts w:ascii="楷体_GB2312" w:eastAsia="楷体_GB2312" w:hAnsi="宋体" w:hint="eastAsia"/>
                <w:b/>
                <w:color w:val="000000"/>
                <w:sz w:val="24"/>
                <w:szCs w:val="24"/>
              </w:rPr>
              <w:t>保本浮动收益型</w:t>
            </w:r>
          </w:p>
        </w:tc>
      </w:tr>
      <w:tr w:rsidR="0044325E" w:rsidRPr="004267D5">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发行规模</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7C0FEF" w:rsidP="000A7C22">
            <w:pPr>
              <w:pStyle w:val="a4"/>
              <w:spacing w:line="360" w:lineRule="exact"/>
              <w:ind w:firstLineChars="0" w:firstLine="0"/>
              <w:rPr>
                <w:rFonts w:ascii="楷体_GB2312" w:eastAsia="楷体_GB2312" w:hAnsi="宋体"/>
                <w:b/>
                <w:color w:val="000000"/>
                <w:szCs w:val="24"/>
              </w:rPr>
            </w:pPr>
            <w:r w:rsidRPr="007C0FEF">
              <w:rPr>
                <w:rFonts w:ascii="楷体_GB2312" w:eastAsia="楷体_GB2312" w:hAnsi="宋体" w:hint="eastAsia"/>
                <w:color w:val="000000"/>
                <w:szCs w:val="24"/>
              </w:rPr>
              <w:t>以实际募集金额为准</w:t>
            </w:r>
          </w:p>
        </w:tc>
      </w:tr>
      <w:tr w:rsidR="00901DD0"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901DD0" w:rsidRPr="00C50ED3" w:rsidRDefault="00901DD0" w:rsidP="000A7C22">
            <w:pPr>
              <w:pStyle w:val="a4"/>
              <w:spacing w:line="36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募集期</w:t>
            </w:r>
          </w:p>
        </w:tc>
        <w:tc>
          <w:tcPr>
            <w:tcW w:w="6480" w:type="dxa"/>
            <w:tcBorders>
              <w:top w:val="single" w:sz="4" w:space="0" w:color="auto"/>
              <w:left w:val="single" w:sz="4" w:space="0" w:color="auto"/>
              <w:bottom w:val="single" w:sz="4" w:space="0" w:color="auto"/>
              <w:right w:val="single" w:sz="4" w:space="0" w:color="auto"/>
            </w:tcBorders>
          </w:tcPr>
          <w:p w:rsidR="00901DD0" w:rsidRPr="00901DD0" w:rsidRDefault="00901DD0" w:rsidP="007362F1">
            <w:pPr>
              <w:rPr>
                <w:rFonts w:ascii="楷体_GB2312" w:eastAsia="楷体_GB2312" w:hAnsi="宋体"/>
                <w:color w:val="000000"/>
                <w:sz w:val="24"/>
                <w:szCs w:val="24"/>
              </w:rPr>
            </w:pPr>
            <w:r w:rsidRPr="00901DD0">
              <w:rPr>
                <w:rFonts w:ascii="楷体_GB2312" w:eastAsia="楷体_GB2312" w:hAnsi="宋体" w:hint="eastAsia"/>
                <w:color w:val="000000"/>
                <w:sz w:val="24"/>
                <w:szCs w:val="24"/>
              </w:rPr>
              <w:t>2015年7月1</w:t>
            </w:r>
            <w:r w:rsidR="007362F1">
              <w:rPr>
                <w:rFonts w:ascii="楷体_GB2312" w:eastAsia="楷体_GB2312" w:hAnsi="宋体" w:hint="eastAsia"/>
                <w:color w:val="000000"/>
                <w:sz w:val="24"/>
                <w:szCs w:val="24"/>
              </w:rPr>
              <w:t>7</w:t>
            </w:r>
            <w:r w:rsidRPr="00901DD0">
              <w:rPr>
                <w:rFonts w:ascii="楷体_GB2312" w:eastAsia="楷体_GB2312" w:hAnsi="宋体" w:hint="eastAsia"/>
                <w:color w:val="000000"/>
                <w:sz w:val="24"/>
                <w:szCs w:val="24"/>
              </w:rPr>
              <w:t>日-2015年7月23日</w:t>
            </w:r>
          </w:p>
        </w:tc>
      </w:tr>
      <w:tr w:rsidR="00901DD0"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901DD0" w:rsidRPr="00C50ED3" w:rsidRDefault="00901DD0"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起始日</w:t>
            </w:r>
          </w:p>
        </w:tc>
        <w:tc>
          <w:tcPr>
            <w:tcW w:w="6480" w:type="dxa"/>
            <w:tcBorders>
              <w:top w:val="single" w:sz="4" w:space="0" w:color="auto"/>
              <w:left w:val="single" w:sz="4" w:space="0" w:color="auto"/>
              <w:bottom w:val="single" w:sz="4" w:space="0" w:color="auto"/>
              <w:right w:val="single" w:sz="4" w:space="0" w:color="auto"/>
            </w:tcBorders>
          </w:tcPr>
          <w:p w:rsidR="00901DD0" w:rsidRPr="00901DD0" w:rsidRDefault="00901DD0" w:rsidP="00BC2733">
            <w:pPr>
              <w:rPr>
                <w:rFonts w:ascii="楷体_GB2312" w:eastAsia="楷体_GB2312" w:hAnsi="宋体"/>
                <w:color w:val="000000"/>
                <w:sz w:val="24"/>
                <w:szCs w:val="24"/>
              </w:rPr>
            </w:pPr>
            <w:r w:rsidRPr="00901DD0">
              <w:rPr>
                <w:rFonts w:ascii="楷体_GB2312" w:eastAsia="楷体_GB2312" w:hAnsi="宋体" w:hint="eastAsia"/>
                <w:color w:val="000000"/>
                <w:sz w:val="24"/>
                <w:szCs w:val="24"/>
              </w:rPr>
              <w:t>2015年7月24日。理财产品自起始日起息。</w:t>
            </w:r>
          </w:p>
        </w:tc>
      </w:tr>
      <w:tr w:rsidR="00901DD0"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901DD0" w:rsidRPr="00C50ED3" w:rsidRDefault="00901DD0"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到期日</w:t>
            </w:r>
          </w:p>
        </w:tc>
        <w:tc>
          <w:tcPr>
            <w:tcW w:w="6480" w:type="dxa"/>
            <w:tcBorders>
              <w:top w:val="single" w:sz="4" w:space="0" w:color="auto"/>
              <w:left w:val="single" w:sz="4" w:space="0" w:color="auto"/>
              <w:bottom w:val="single" w:sz="4" w:space="0" w:color="auto"/>
              <w:right w:val="single" w:sz="4" w:space="0" w:color="auto"/>
            </w:tcBorders>
          </w:tcPr>
          <w:p w:rsidR="00901DD0" w:rsidRPr="00901DD0" w:rsidRDefault="00901DD0" w:rsidP="00BC2733">
            <w:pPr>
              <w:rPr>
                <w:rFonts w:ascii="楷体_GB2312" w:eastAsia="楷体_GB2312" w:hAnsi="宋体"/>
                <w:color w:val="000000"/>
                <w:sz w:val="24"/>
                <w:szCs w:val="24"/>
              </w:rPr>
            </w:pPr>
            <w:r w:rsidRPr="00901DD0">
              <w:rPr>
                <w:rFonts w:ascii="楷体_GB2312" w:eastAsia="楷体_GB2312" w:hAnsi="宋体" w:hint="eastAsia"/>
                <w:color w:val="000000"/>
                <w:sz w:val="24"/>
                <w:szCs w:val="24"/>
              </w:rPr>
              <w:t>2015年10月9日</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产品到期资金到账日</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color w:val="000000"/>
                <w:szCs w:val="24"/>
              </w:rPr>
            </w:pPr>
            <w:r w:rsidRPr="00F45DB3">
              <w:rPr>
                <w:rFonts w:ascii="楷体_GB2312" w:eastAsia="楷体_GB2312" w:hAnsi="宋体" w:hint="eastAsia"/>
                <w:color w:val="000000"/>
                <w:szCs w:val="24"/>
              </w:rPr>
              <w:t>到期日后</w:t>
            </w:r>
            <w:r w:rsidR="00BE5B43">
              <w:rPr>
                <w:rFonts w:ascii="楷体_GB2312" w:eastAsia="楷体_GB2312" w:hAnsi="宋体" w:hint="eastAsia"/>
                <w:color w:val="000000"/>
                <w:szCs w:val="24"/>
              </w:rPr>
              <w:t>2</w:t>
            </w:r>
            <w:r w:rsidRPr="00F45DB3">
              <w:rPr>
                <w:rFonts w:ascii="楷体_GB2312" w:eastAsia="楷体_GB2312" w:hAnsi="宋体" w:hint="eastAsia"/>
                <w:color w:val="000000"/>
                <w:szCs w:val="24"/>
              </w:rPr>
              <w:t>个工作日内</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理财资金托管行</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24561" w:rsidP="007B3145">
            <w:pPr>
              <w:pStyle w:val="a4"/>
              <w:spacing w:line="360" w:lineRule="exact"/>
              <w:ind w:firstLineChars="0" w:firstLine="0"/>
              <w:rPr>
                <w:rFonts w:ascii="楷体_GB2312" w:eastAsia="楷体_GB2312" w:hAnsi="宋体"/>
                <w:color w:val="000000"/>
                <w:szCs w:val="24"/>
              </w:rPr>
            </w:pPr>
            <w:r w:rsidRPr="00C74133">
              <w:rPr>
                <w:rFonts w:ascii="楷体_GB2312" w:eastAsia="楷体_GB2312" w:hAnsi="宋体" w:cs="宋体" w:hint="eastAsia"/>
                <w:color w:val="000000"/>
                <w:kern w:val="0"/>
              </w:rPr>
              <w:t>中国邮政储蓄银行</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资金投向</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BD4416" w:rsidRDefault="00AA519D" w:rsidP="003A5865">
            <w:pPr>
              <w:adjustRightInd w:val="0"/>
              <w:snapToGrid w:val="0"/>
              <w:spacing w:line="360" w:lineRule="exact"/>
              <w:jc w:val="left"/>
              <w:rPr>
                <w:rFonts w:ascii="楷体_GB2312" w:eastAsia="楷体_GB2312"/>
                <w:color w:val="000000"/>
                <w:sz w:val="24"/>
              </w:rPr>
            </w:pPr>
            <w:r w:rsidRPr="001238A5">
              <w:rPr>
                <w:rFonts w:ascii="楷体_GB2312" w:eastAsia="楷体_GB2312" w:hAnsi="宋体" w:cs="宋体" w:hint="eastAsia"/>
                <w:color w:val="000000"/>
                <w:kern w:val="0"/>
                <w:sz w:val="24"/>
              </w:rPr>
              <w:t>本期产品募集的资金全额投资但不限于</w:t>
            </w:r>
            <w:r w:rsidRPr="004A15F8">
              <w:rPr>
                <w:rFonts w:ascii="楷体_GB2312" w:eastAsia="楷体_GB2312" w:hAnsi="宋体" w:cs="宋体" w:hint="eastAsia"/>
                <w:color w:val="000000"/>
                <w:kern w:val="0"/>
                <w:sz w:val="24"/>
              </w:rPr>
              <w:t>银行间市场债券、同业存款、融资租赁资产、货币基金、债券基金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（具体以每期产品的实际投向为准），其中</w:t>
            </w:r>
            <w:r w:rsidRPr="00C9534C">
              <w:rPr>
                <w:rFonts w:ascii="楷体_GB2312" w:eastAsia="楷体_GB2312" w:hAnsi="宋体" w:cs="宋体" w:hint="eastAsia"/>
                <w:color w:val="000000"/>
                <w:kern w:val="0"/>
                <w:sz w:val="24"/>
              </w:rPr>
              <w:t>现金比例不高于净资产的10%，</w:t>
            </w:r>
            <w:r w:rsidRPr="004A15F8">
              <w:rPr>
                <w:rFonts w:ascii="楷体_GB2312" w:eastAsia="楷体_GB2312" w:hAnsi="宋体" w:cs="宋体" w:hint="eastAsia"/>
                <w:color w:val="000000"/>
                <w:kern w:val="0"/>
                <w:sz w:val="24"/>
              </w:rPr>
              <w:t>银行间市场债券、同业存款、融资</w:t>
            </w:r>
            <w:r w:rsidRPr="004A15F8">
              <w:rPr>
                <w:rFonts w:ascii="楷体_GB2312" w:eastAsia="楷体_GB2312" w:hAnsi="宋体" w:cs="宋体" w:hint="eastAsia"/>
                <w:color w:val="000000"/>
                <w:kern w:val="0"/>
                <w:sz w:val="24"/>
              </w:rPr>
              <w:lastRenderedPageBreak/>
              <w:t>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合计占净资产比例为90%-100%</w:t>
            </w:r>
            <w:r w:rsidRPr="00C9534C">
              <w:rPr>
                <w:rFonts w:ascii="楷体_GB2312" w:eastAsia="楷体_GB2312" w:hAnsi="宋体" w:cs="宋体" w:hint="eastAsia"/>
                <w:color w:val="000000"/>
                <w:kern w:val="0"/>
                <w:sz w:val="24"/>
              </w:rPr>
              <w:t>（理财产品存续期内可能因市场的重大变化导致投资比例暂时超出上述区间，银行将尽合理努力，以客户利益最大化为原则尽快使投资比例恢复至上述规定区间）</w:t>
            </w:r>
            <w:r w:rsidRPr="001238A5">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lastRenderedPageBreak/>
              <w:t>参考年化收益率</w:t>
            </w:r>
          </w:p>
        </w:tc>
        <w:tc>
          <w:tcPr>
            <w:tcW w:w="6480" w:type="dxa"/>
            <w:tcBorders>
              <w:top w:val="single" w:sz="4" w:space="0" w:color="auto"/>
              <w:left w:val="single" w:sz="4" w:space="0" w:color="auto"/>
              <w:bottom w:val="single" w:sz="4" w:space="0" w:color="auto"/>
              <w:right w:val="single" w:sz="4" w:space="0" w:color="auto"/>
            </w:tcBorders>
          </w:tcPr>
          <w:p w:rsidR="00B76236" w:rsidRDefault="00B76236" w:rsidP="00BD4025">
            <w:pPr>
              <w:pStyle w:val="a3"/>
              <w:spacing w:line="360" w:lineRule="exact"/>
              <w:rPr>
                <w:rFonts w:ascii="楷体_GB2312" w:eastAsia="楷体_GB2312" w:hAnsi="宋体" w:cs="宋体"/>
                <w:color w:val="000000"/>
                <w:kern w:val="0"/>
                <w:sz w:val="24"/>
              </w:rPr>
            </w:pPr>
            <w:r w:rsidRPr="00B76236">
              <w:rPr>
                <w:rFonts w:ascii="楷体_GB2312" w:eastAsia="楷体_GB2312" w:hAnsi="宋体" w:cs="宋体" w:hint="eastAsia"/>
                <w:color w:val="000000"/>
                <w:kern w:val="0"/>
                <w:sz w:val="24"/>
              </w:rPr>
              <w:t>个人客户：5万-30万：</w:t>
            </w:r>
            <w:r w:rsidR="00901DD0">
              <w:rPr>
                <w:rFonts w:ascii="楷体_GB2312" w:eastAsia="楷体_GB2312" w:hAnsi="宋体" w:cs="宋体" w:hint="eastAsia"/>
                <w:color w:val="000000"/>
                <w:kern w:val="0"/>
                <w:sz w:val="24"/>
              </w:rPr>
              <w:t>5.35</w:t>
            </w:r>
            <w:r w:rsidRPr="00B76236">
              <w:rPr>
                <w:rFonts w:ascii="楷体_GB2312" w:eastAsia="楷体_GB2312" w:hAnsi="宋体" w:cs="宋体" w:hint="eastAsia"/>
                <w:color w:val="000000"/>
                <w:kern w:val="0"/>
                <w:sz w:val="24"/>
              </w:rPr>
              <w:t>%；30万（含）</w:t>
            </w:r>
            <w:r w:rsidR="005452BA">
              <w:rPr>
                <w:rFonts w:ascii="楷体_GB2312" w:eastAsia="楷体_GB2312" w:hAnsi="宋体" w:cs="宋体" w:hint="eastAsia"/>
                <w:color w:val="000000"/>
                <w:kern w:val="0"/>
                <w:sz w:val="24"/>
              </w:rPr>
              <w:t>-3000万</w:t>
            </w:r>
            <w:r w:rsidRPr="00B76236">
              <w:rPr>
                <w:rFonts w:ascii="楷体_GB2312" w:eastAsia="楷体_GB2312" w:hAnsi="宋体" w:cs="宋体" w:hint="eastAsia"/>
                <w:color w:val="000000"/>
                <w:kern w:val="0"/>
                <w:sz w:val="24"/>
              </w:rPr>
              <w:t>：</w:t>
            </w:r>
            <w:r w:rsidR="00901DD0">
              <w:rPr>
                <w:rFonts w:ascii="楷体_GB2312" w:eastAsia="楷体_GB2312" w:hAnsi="宋体" w:cs="宋体" w:hint="eastAsia"/>
                <w:color w:val="000000"/>
                <w:kern w:val="0"/>
                <w:sz w:val="24"/>
              </w:rPr>
              <w:t>5.40</w:t>
            </w:r>
            <w:r w:rsidRPr="00B76236">
              <w:rPr>
                <w:rFonts w:ascii="楷体_GB2312" w:eastAsia="楷体_GB2312" w:hAnsi="宋体" w:cs="宋体" w:hint="eastAsia"/>
                <w:color w:val="000000"/>
                <w:kern w:val="0"/>
                <w:sz w:val="24"/>
              </w:rPr>
              <w:t>%</w:t>
            </w:r>
            <w:r w:rsidR="00414905">
              <w:rPr>
                <w:rFonts w:ascii="楷体_GB2312" w:eastAsia="楷体_GB2312" w:hAnsi="宋体" w:cs="宋体" w:hint="eastAsia"/>
                <w:color w:val="000000"/>
                <w:kern w:val="0"/>
                <w:sz w:val="24"/>
              </w:rPr>
              <w:t>；</w:t>
            </w:r>
          </w:p>
          <w:p w:rsidR="0044325E" w:rsidRPr="00F45DB3" w:rsidRDefault="00B76236" w:rsidP="005452BA">
            <w:pPr>
              <w:pStyle w:val="a3"/>
              <w:spacing w:line="360" w:lineRule="exact"/>
              <w:rPr>
                <w:rFonts w:ascii="楷体_GB2312" w:eastAsia="楷体_GB2312" w:hAnsi="宋体"/>
                <w:b/>
                <w:color w:val="000000"/>
                <w:sz w:val="24"/>
                <w:szCs w:val="24"/>
              </w:rPr>
            </w:pPr>
            <w:r w:rsidRPr="00B76236">
              <w:rPr>
                <w:rFonts w:ascii="楷体_GB2312" w:eastAsia="楷体_GB2312" w:hAnsi="宋体" w:cs="宋体" w:hint="eastAsia"/>
                <w:color w:val="000000"/>
                <w:kern w:val="0"/>
                <w:sz w:val="24"/>
              </w:rPr>
              <w:t>机构客户：50万-</w:t>
            </w:r>
            <w:r w:rsidR="005452BA">
              <w:rPr>
                <w:rFonts w:ascii="楷体_GB2312" w:eastAsia="楷体_GB2312" w:hAnsi="宋体" w:cs="宋体" w:hint="eastAsia"/>
                <w:color w:val="000000"/>
                <w:kern w:val="0"/>
                <w:sz w:val="24"/>
              </w:rPr>
              <w:t>10</w:t>
            </w:r>
            <w:r w:rsidRPr="00B76236">
              <w:rPr>
                <w:rFonts w:ascii="楷体_GB2312" w:eastAsia="楷体_GB2312" w:hAnsi="宋体" w:cs="宋体" w:hint="eastAsia"/>
                <w:color w:val="000000"/>
                <w:kern w:val="0"/>
                <w:sz w:val="24"/>
              </w:rPr>
              <w:t>00万：</w:t>
            </w:r>
            <w:r w:rsidR="00901DD0">
              <w:rPr>
                <w:rFonts w:ascii="楷体_GB2312" w:eastAsia="楷体_GB2312" w:hAnsi="宋体" w:cs="宋体" w:hint="eastAsia"/>
                <w:color w:val="000000"/>
                <w:kern w:val="0"/>
                <w:sz w:val="24"/>
              </w:rPr>
              <w:t>5.35</w:t>
            </w:r>
            <w:r w:rsidRPr="00B76236">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收益率测算</w:t>
            </w:r>
          </w:p>
        </w:tc>
        <w:tc>
          <w:tcPr>
            <w:tcW w:w="6480" w:type="dxa"/>
            <w:tcBorders>
              <w:top w:val="single" w:sz="4" w:space="0" w:color="auto"/>
              <w:left w:val="single" w:sz="4" w:space="0" w:color="auto"/>
              <w:bottom w:val="single" w:sz="4" w:space="0" w:color="auto"/>
              <w:right w:val="single" w:sz="4" w:space="0" w:color="auto"/>
            </w:tcBorders>
            <w:vAlign w:val="center"/>
          </w:tcPr>
          <w:p w:rsidR="003202B3" w:rsidRPr="00F45DB3" w:rsidRDefault="00DB7B21" w:rsidP="00D27591">
            <w:pPr>
              <w:adjustRightInd w:val="0"/>
              <w:snapToGrid w:val="0"/>
              <w:spacing w:line="360" w:lineRule="exact"/>
              <w:jc w:val="left"/>
              <w:rPr>
                <w:rFonts w:ascii="楷体_GB2312" w:eastAsia="楷体_GB2312" w:hAnsi="宋体"/>
                <w:color w:val="000000"/>
                <w:sz w:val="24"/>
                <w:szCs w:val="24"/>
              </w:rPr>
            </w:pPr>
            <w:r>
              <w:rPr>
                <w:rFonts w:ascii="楷体_GB2312" w:eastAsia="楷体_GB2312" w:hint="eastAsia"/>
                <w:color w:val="000000"/>
                <w:sz w:val="24"/>
              </w:rPr>
              <w:t>本产品</w:t>
            </w:r>
            <w:r w:rsidRPr="00DB7B21">
              <w:rPr>
                <w:rFonts w:ascii="楷体_GB2312" w:eastAsia="楷体_GB2312" w:hint="eastAsia"/>
                <w:color w:val="000000"/>
                <w:sz w:val="24"/>
              </w:rPr>
              <w:t>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最高年化收益率，超过部分作为银行投资管理费用。</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认购起点金额</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Default="004267D5" w:rsidP="00FC2EA3">
            <w:pPr>
              <w:spacing w:line="360" w:lineRule="exact"/>
              <w:rPr>
                <w:rFonts w:ascii="楷体_GB2312" w:eastAsia="楷体_GB2312"/>
                <w:color w:val="000000"/>
                <w:sz w:val="24"/>
              </w:rPr>
            </w:pPr>
            <w:r w:rsidRPr="00A94136">
              <w:rPr>
                <w:rFonts w:ascii="楷体_GB2312" w:eastAsia="楷体_GB2312" w:hint="eastAsia"/>
                <w:color w:val="000000"/>
                <w:sz w:val="24"/>
              </w:rPr>
              <w:t>个人客户5万元起，以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元整数倍递增</w:t>
            </w:r>
            <w:r w:rsidR="005452BA">
              <w:rPr>
                <w:rFonts w:ascii="楷体_GB2312" w:eastAsia="楷体_GB2312" w:hint="eastAsia"/>
                <w:color w:val="000000"/>
                <w:sz w:val="24"/>
              </w:rPr>
              <w:t>，最高不超过3000万</w:t>
            </w:r>
            <w:r w:rsidRPr="00A94136">
              <w:rPr>
                <w:rFonts w:ascii="楷体_GB2312" w:eastAsia="楷体_GB2312" w:hint="eastAsia"/>
                <w:color w:val="000000"/>
                <w:sz w:val="24"/>
              </w:rPr>
              <w:t>；</w:t>
            </w:r>
            <w:r w:rsidR="00FC2EA3" w:rsidRPr="0033744F">
              <w:rPr>
                <w:rFonts w:ascii="楷体_GB2312" w:eastAsia="楷体_GB2312" w:hint="eastAsia"/>
                <w:color w:val="000000"/>
                <w:sz w:val="24"/>
              </w:rPr>
              <w:t xml:space="preserve"> </w:t>
            </w:r>
          </w:p>
          <w:p w:rsidR="00FE1A7C" w:rsidRPr="0033744F" w:rsidRDefault="00FE1A7C" w:rsidP="00FC2EA3">
            <w:pPr>
              <w:spacing w:line="360" w:lineRule="exact"/>
              <w:rPr>
                <w:rFonts w:ascii="楷体_GB2312" w:eastAsia="楷体_GB2312"/>
                <w:color w:val="000000"/>
                <w:sz w:val="24"/>
              </w:rPr>
            </w:pPr>
            <w:r>
              <w:rPr>
                <w:rFonts w:ascii="楷体_GB2312" w:eastAsia="楷体_GB2312" w:hint="eastAsia"/>
                <w:color w:val="000000"/>
                <w:sz w:val="24"/>
              </w:rPr>
              <w:t>机构</w:t>
            </w:r>
            <w:r w:rsidRPr="00A94136">
              <w:rPr>
                <w:rFonts w:ascii="楷体_GB2312" w:eastAsia="楷体_GB2312" w:hint="eastAsia"/>
                <w:color w:val="000000"/>
                <w:sz w:val="24"/>
              </w:rPr>
              <w:t>客户5</w:t>
            </w:r>
            <w:r>
              <w:rPr>
                <w:rFonts w:ascii="楷体_GB2312" w:eastAsia="楷体_GB2312"/>
                <w:color w:val="000000"/>
                <w:sz w:val="24"/>
              </w:rPr>
              <w:t>0</w:t>
            </w:r>
            <w:r w:rsidRPr="00A94136">
              <w:rPr>
                <w:rFonts w:ascii="楷体_GB2312" w:eastAsia="楷体_GB2312" w:hint="eastAsia"/>
                <w:color w:val="000000"/>
                <w:sz w:val="24"/>
              </w:rPr>
              <w:t>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元整数倍递增</w:t>
            </w:r>
            <w:r w:rsidR="005452BA">
              <w:rPr>
                <w:rFonts w:ascii="楷体_GB2312" w:eastAsia="楷体_GB2312" w:hint="eastAsia"/>
                <w:color w:val="000000"/>
                <w:sz w:val="24"/>
              </w:rPr>
              <w:t>，最高不超过1000万</w:t>
            </w:r>
            <w:r w:rsidRPr="00A94136">
              <w:rPr>
                <w:rFonts w:ascii="楷体_GB2312" w:eastAsia="楷体_GB2312" w:hint="eastAsia"/>
                <w:color w:val="00000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收益计算方法</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期末收益＝投资本金×实际收益率×</w:t>
            </w:r>
            <w:r w:rsidR="00CB129F">
              <w:rPr>
                <w:rFonts w:ascii="楷体_GB2312" w:eastAsia="楷体_GB2312" w:hAnsi="宋体" w:hint="eastAsia"/>
                <w:b/>
                <w:color w:val="000000"/>
                <w:sz w:val="24"/>
                <w:szCs w:val="24"/>
              </w:rPr>
              <w:t>实际理财天数</w:t>
            </w:r>
            <w:r w:rsidRPr="00F45DB3">
              <w:rPr>
                <w:rFonts w:ascii="楷体_GB2312" w:eastAsia="楷体_GB2312" w:hAnsi="宋体" w:hint="eastAsia"/>
                <w:color w:val="000000"/>
                <w:sz w:val="24"/>
                <w:szCs w:val="24"/>
              </w:rPr>
              <w:t>/365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提前终止权</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客户无权提前终止该产品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税务处理</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我行不代扣代缴，但法律、法规另有规定除外</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其他规定</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1、</w:t>
            </w:r>
            <w:r w:rsidRPr="00E71B3D">
              <w:rPr>
                <w:rFonts w:ascii="楷体_GB2312" w:eastAsia="楷体_GB2312" w:hint="eastAsia"/>
                <w:color w:val="000000"/>
                <w:sz w:val="24"/>
              </w:rPr>
              <w:t>到期日至到账日之</w:t>
            </w:r>
            <w:r w:rsidRPr="00F45DB3">
              <w:rPr>
                <w:rFonts w:ascii="楷体_GB2312" w:eastAsia="楷体_GB2312" w:hAnsi="宋体" w:hint="eastAsia"/>
                <w:color w:val="000000"/>
                <w:sz w:val="24"/>
                <w:szCs w:val="24"/>
              </w:rPr>
              <w:t>间，客户资金不计利息</w:t>
            </w:r>
          </w:p>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int="eastAsia"/>
                <w:color w:val="000000"/>
                <w:sz w:val="24"/>
              </w:rPr>
              <w:t>2、投资者签署《</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理财产品客户协议书》后，即视为投资者同意</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有权在认购日从投资者账户中冻结其签约本金，募集期间冻结资金按同期活期利率计算利息。</w:t>
            </w:r>
          </w:p>
        </w:tc>
      </w:tr>
    </w:tbl>
    <w:p w:rsidR="0044325E" w:rsidRDefault="0044325E" w:rsidP="0044325E">
      <w:pPr>
        <w:spacing w:line="360" w:lineRule="exact"/>
        <w:rPr>
          <w:rFonts w:ascii="楷体_GB2312" w:eastAsia="楷体_GB2312" w:hAnsi="宋体" w:cs="宋体"/>
          <w:b/>
          <w:color w:val="000000"/>
          <w:kern w:val="0"/>
          <w:sz w:val="24"/>
          <w:szCs w:val="24"/>
        </w:rPr>
      </w:pPr>
    </w:p>
    <w:p w:rsidR="004937C7" w:rsidRPr="00F45DB3" w:rsidRDefault="004937C7" w:rsidP="0044325E">
      <w:pPr>
        <w:spacing w:line="360" w:lineRule="exact"/>
        <w:rPr>
          <w:rFonts w:ascii="楷体_GB2312" w:eastAsia="楷体_GB2312" w:hAnsi="宋体" w:cs="宋体"/>
          <w:b/>
          <w:color w:val="000000"/>
          <w:kern w:val="0"/>
          <w:sz w:val="24"/>
          <w:szCs w:val="24"/>
        </w:rPr>
      </w:pPr>
    </w:p>
    <w:p w:rsidR="0044325E" w:rsidRPr="00F45DB3" w:rsidRDefault="0044325E" w:rsidP="0044325E">
      <w:pPr>
        <w:spacing w:line="360" w:lineRule="exac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 xml:space="preserve">风险提示                                                               </w:t>
      </w:r>
    </w:p>
    <w:p w:rsidR="00756434" w:rsidRPr="009F5778" w:rsidRDefault="00756434" w:rsidP="00384456">
      <w:pPr>
        <w:autoSpaceDE w:val="0"/>
        <w:autoSpaceDN w:val="0"/>
        <w:adjustRightInd w:val="0"/>
        <w:spacing w:line="360" w:lineRule="exact"/>
        <w:ind w:right="-500" w:firstLineChars="194" w:firstLine="467"/>
        <w:jc w:val="left"/>
        <w:rPr>
          <w:rFonts w:ascii="楷体_GB2312" w:eastAsia="楷体_GB2312" w:cs="楷体_GB2312"/>
          <w:b/>
          <w:color w:val="000000"/>
          <w:kern w:val="0"/>
          <w:sz w:val="24"/>
        </w:rPr>
      </w:pPr>
      <w:r w:rsidRPr="009F5778">
        <w:rPr>
          <w:rFonts w:ascii="楷体_GB2312" w:eastAsia="楷体_GB2312" w:cs="楷体_GB2312"/>
          <w:b/>
          <w:color w:val="000000"/>
          <w:kern w:val="0"/>
          <w:sz w:val="24"/>
        </w:rPr>
        <w:t>本理财产品为</w:t>
      </w:r>
      <w:r>
        <w:rPr>
          <w:rFonts w:ascii="楷体_GB2312" w:eastAsia="楷体_GB2312" w:cs="楷体_GB2312" w:hint="eastAsia"/>
          <w:b/>
          <w:color w:val="000000"/>
          <w:kern w:val="0"/>
          <w:sz w:val="24"/>
        </w:rPr>
        <w:t>非</w:t>
      </w:r>
      <w:r w:rsidRPr="009F5778">
        <w:rPr>
          <w:rFonts w:ascii="楷体_GB2312" w:eastAsia="楷体_GB2312" w:cs="楷体_GB2312"/>
          <w:b/>
          <w:color w:val="000000"/>
          <w:kern w:val="0"/>
          <w:sz w:val="24"/>
        </w:rPr>
        <w:t>保本浮动收益型理财产品，</w:t>
      </w:r>
      <w:r>
        <w:rPr>
          <w:rFonts w:ascii="楷体_GB2312" w:eastAsia="楷体_GB2312" w:cs="楷体_GB2312" w:hint="eastAsia"/>
          <w:b/>
          <w:color w:val="000000"/>
          <w:kern w:val="0"/>
          <w:sz w:val="24"/>
        </w:rPr>
        <w:t>不保证本金和收益，</w:t>
      </w:r>
      <w:r w:rsidRPr="009F5778">
        <w:rPr>
          <w:rFonts w:ascii="楷体_GB2312" w:eastAsia="楷体_GB2312" w:cs="楷体_GB2312"/>
          <w:b/>
          <w:color w:val="000000"/>
          <w:kern w:val="0"/>
          <w:sz w:val="24"/>
        </w:rPr>
        <w:t>投资者应该充分认识投资风险，谨慎投资。以下风险揭示内容请投资者详细阅读，在充分了解并清楚知晓本产品蕴含风险的基础上，通过自身判断自主参与交易，并自愿承担相关风险：</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1、本金及理财收益风险：本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为</w:t>
      </w:r>
      <w:r>
        <w:rPr>
          <w:rFonts w:ascii="楷体_GB2312" w:eastAsia="楷体_GB2312" w:cs="楷体_GB2312" w:hint="eastAsia"/>
          <w:color w:val="000000"/>
          <w:kern w:val="0"/>
          <w:sz w:val="24"/>
        </w:rPr>
        <w:t>非</w:t>
      </w:r>
      <w:r w:rsidRPr="00877CF6">
        <w:rPr>
          <w:rFonts w:ascii="楷体_GB2312" w:eastAsia="楷体_GB2312" w:cs="楷体_GB2312" w:hint="eastAsia"/>
          <w:color w:val="000000"/>
          <w:kern w:val="0"/>
          <w:sz w:val="24"/>
        </w:rPr>
        <w:t>保本浮动收益型，理财收益来源于本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投资的回报，容易受到市场利率变化、资产运作情况的影响。在部分或全部资产未能完全按预期价格出让的情况下，</w:t>
      </w:r>
      <w:r w:rsidRPr="00A94136">
        <w:rPr>
          <w:rFonts w:ascii="楷体_GB2312" w:eastAsia="楷体_GB2312" w:cs="楷体_GB2312" w:hint="eastAsia"/>
          <w:color w:val="000000"/>
          <w:kern w:val="0"/>
          <w:sz w:val="24"/>
        </w:rPr>
        <w:t>则可能影响投资收益，出现收益波动、收益为零甚至本金损失的情况</w:t>
      </w:r>
      <w:r w:rsidRPr="00877CF6">
        <w:rPr>
          <w:rFonts w:ascii="楷体_GB2312" w:eastAsia="楷体_GB2312" w:cs="楷体_GB2312" w:hint="eastAsia"/>
          <w:color w:val="000000"/>
          <w:kern w:val="0"/>
          <w:sz w:val="24"/>
        </w:rPr>
        <w:t>。</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2、流动性风险：投资者无提前终止权，可能导致投资者需要资金时不能随时变现，并可能使投资者丧失其他投资机会。</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3、市场风险：受各种市场因素、宏观政策因素等的影响，理财产品所投资的</w:t>
      </w:r>
      <w:r w:rsidR="00F33289" w:rsidRPr="00A94136">
        <w:rPr>
          <w:rFonts w:ascii="楷体_GB2312" w:eastAsia="楷体_GB2312" w:cs="楷体_GB2312" w:hint="eastAsia"/>
          <w:color w:val="000000"/>
          <w:kern w:val="0"/>
          <w:sz w:val="24"/>
        </w:rPr>
        <w:t>未到</w:t>
      </w:r>
      <w:r w:rsidR="00F33289" w:rsidRPr="00A94136">
        <w:rPr>
          <w:rFonts w:ascii="楷体_GB2312" w:eastAsia="楷体_GB2312" w:cs="楷体_GB2312" w:hint="eastAsia"/>
          <w:color w:val="000000"/>
          <w:kern w:val="0"/>
          <w:sz w:val="24"/>
        </w:rPr>
        <w:lastRenderedPageBreak/>
        <w:t>期债券、央行票据、金融债、信托融资等金融产品</w:t>
      </w:r>
      <w:r w:rsidRPr="00877CF6">
        <w:rPr>
          <w:rFonts w:ascii="楷体_GB2312" w:eastAsia="楷体_GB2312" w:cs="楷体_GB2312" w:hint="eastAsia"/>
          <w:color w:val="000000"/>
          <w:kern w:val="0"/>
          <w:sz w:val="24"/>
        </w:rPr>
        <w:t>会上下波动，影响理财产品收益。</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4、理财产品不成立风险：如理财产品募集结束时，认购总金额未达到规模要求或市场发生剧烈波动等情况，经</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合理判断难以按照本理财产品说明书规定向购买者提供本理财产品，</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有权宣布本理财产品不成立。</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5、政策风险：本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根据当前相关法律法规和政策设计，如国家宏观政策及市场相关法律法规发生变化，可能影响</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的受理、投资、偿还等正常进行，甚至导致本理财收益降低。</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56434"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7、信息传递风险：</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按照本说明书有关“提前终止”和“信息披露及投诉方式”条款的约定，发布本理财产品的运作与清算信息公告。投资者应根据“提前终止”和“信息披露及投诉方式”条款的约定及时致电</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客户服务热线（0759-961818）或到</w:t>
      </w:r>
      <w:r w:rsidR="003D003F">
        <w:rPr>
          <w:rFonts w:ascii="楷体_GB2312" w:eastAsia="楷体_GB2312" w:cs="楷体_GB2312" w:hint="eastAsia"/>
          <w:color w:val="000000"/>
          <w:kern w:val="0"/>
          <w:sz w:val="24"/>
        </w:rPr>
        <w:t>广东南粤银行</w:t>
      </w:r>
      <w:r w:rsidR="006D20EC" w:rsidRPr="006D20EC">
        <w:rPr>
          <w:rFonts w:ascii="楷体_GB2312" w:eastAsia="楷体_GB2312" w:hint="eastAsia"/>
          <w:color w:val="000000"/>
          <w:sz w:val="24"/>
        </w:rPr>
        <w:t>各</w:t>
      </w:r>
      <w:r w:rsidRPr="00877CF6">
        <w:rPr>
          <w:rFonts w:ascii="楷体_GB2312" w:eastAsia="楷体_GB2312" w:cs="楷体_GB2312" w:hint="eastAsia"/>
          <w:color w:val="000000"/>
          <w:kern w:val="0"/>
          <w:sz w:val="24"/>
        </w:rPr>
        <w:t>网点查询。如果投资者未及时查询，或由于通讯故障、系统故障以及其他不可抗力等因素的影响使得投资者无法及时了解理财产品信息，因此而产生的风险和责任由投资者自行承担。</w:t>
      </w:r>
    </w:p>
    <w:p w:rsidR="00756434" w:rsidRPr="00A94136" w:rsidRDefault="00756434" w:rsidP="00F33678">
      <w:pPr>
        <w:autoSpaceDE w:val="0"/>
        <w:autoSpaceDN w:val="0"/>
        <w:adjustRightInd w:val="0"/>
        <w:spacing w:line="360" w:lineRule="exact"/>
        <w:ind w:right="-500" w:firstLineChars="194" w:firstLine="467"/>
        <w:jc w:val="left"/>
        <w:outlineLvl w:val="0"/>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t>（请投资者仔细阅读本产品说明书首页的风险提示）</w:t>
      </w:r>
    </w:p>
    <w:p w:rsidR="0044325E" w:rsidRPr="00F45DB3" w:rsidRDefault="0044325E" w:rsidP="0044325E">
      <w:pPr>
        <w:widowControl/>
        <w:spacing w:line="360" w:lineRule="exact"/>
        <w:jc w:val="lef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风险评级R2（风险程度较低）</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42"/>
        <w:gridCol w:w="1578"/>
        <w:gridCol w:w="2160"/>
        <w:gridCol w:w="2160"/>
      </w:tblGrid>
      <w:tr w:rsidR="0044325E" w:rsidRPr="00F45DB3">
        <w:trPr>
          <w:cantSplit/>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325E" w:rsidRPr="00F45DB3" w:rsidRDefault="0044325E" w:rsidP="007B3145">
            <w:pPr>
              <w:spacing w:line="360" w:lineRule="exact"/>
              <w:ind w:left="113" w:right="113"/>
              <w:jc w:val="center"/>
              <w:rPr>
                <w:rFonts w:ascii="楷体_GB2312" w:eastAsia="楷体_GB2312" w:hAnsi="宋体"/>
                <w:color w:val="000000"/>
                <w:sz w:val="24"/>
                <w:szCs w:val="24"/>
              </w:rPr>
            </w:pPr>
            <w:r w:rsidRPr="00F45DB3">
              <w:rPr>
                <w:rFonts w:ascii="楷体_GB2312" w:eastAsia="楷体_GB2312" w:hAnsi="宋体" w:cs="仿宋_GB2312" w:hint="eastAsia"/>
                <w:b/>
                <w:bCs/>
                <w:color w:val="000000"/>
                <w:sz w:val="24"/>
                <w:szCs w:val="24"/>
              </w:rPr>
              <w:t>内 部 风 险 评 级</w:t>
            </w:r>
          </w:p>
        </w:tc>
        <w:tc>
          <w:tcPr>
            <w:tcW w:w="7740" w:type="dxa"/>
            <w:gridSpan w:val="4"/>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b/>
                <w:color w:val="000000"/>
                <w:sz w:val="24"/>
                <w:szCs w:val="24"/>
              </w:rPr>
            </w:pPr>
            <w:r w:rsidRPr="00F45DB3">
              <w:rPr>
                <w:rFonts w:ascii="楷体_GB2312" w:eastAsia="楷体_GB2312" w:hAnsi="宋体" w:cs="仿宋_GB2312" w:hint="eastAsia"/>
                <w:b/>
                <w:color w:val="000000"/>
                <w:sz w:val="24"/>
                <w:szCs w:val="24"/>
              </w:rPr>
              <w:t>本理财计划内部风险评级为：R</w:t>
            </w:r>
            <w:r w:rsidRPr="00F45DB3">
              <w:rPr>
                <w:rStyle w:val="a5"/>
                <w:rFonts w:ascii="楷体_GB2312" w:eastAsia="楷体_GB2312" w:hAnsi="宋体" w:cs="仿宋_GB2312" w:hint="eastAsia"/>
                <w:b w:val="0"/>
                <w:color w:val="000000"/>
                <w:sz w:val="24"/>
                <w:szCs w:val="24"/>
              </w:rPr>
              <w:t>2</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风险评级</w:t>
            </w:r>
          </w:p>
        </w:tc>
        <w:tc>
          <w:tcPr>
            <w:tcW w:w="157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风险程度</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适合的投资者</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适合投资策略</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R1</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保守型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风险控制</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R2</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较低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稳健发展</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R3</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中</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平衡型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均衡成长</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R4</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较高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成长型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积极进取</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R5</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进取型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风险承受</w:t>
            </w:r>
          </w:p>
        </w:tc>
      </w:tr>
    </w:tbl>
    <w:p w:rsidR="0044325E" w:rsidRPr="00F45DB3" w:rsidRDefault="0044325E" w:rsidP="00C945A8">
      <w:pPr>
        <w:spacing w:line="360" w:lineRule="exac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（本评级为</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股份有限公司内部评级，仅供参考）</w:t>
      </w:r>
    </w:p>
    <w:p w:rsidR="0044325E" w:rsidRPr="00F45DB3" w:rsidRDefault="0044325E" w:rsidP="0044325E">
      <w:pPr>
        <w:spacing w:line="360" w:lineRule="exact"/>
        <w:rPr>
          <w:rFonts w:ascii="楷体_GB2312" w:eastAsia="楷体_GB2312" w:hAnsi="宋体" w:cs="宋体"/>
          <w:color w:val="000000"/>
          <w:kern w:val="0"/>
          <w:sz w:val="24"/>
          <w:szCs w:val="24"/>
        </w:rPr>
      </w:pPr>
    </w:p>
    <w:p w:rsidR="0044325E"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理财本金与收益测算</w:t>
      </w:r>
    </w:p>
    <w:p w:rsidR="003D003F" w:rsidRDefault="003D003F" w:rsidP="00D225CB">
      <w:pPr>
        <w:widowControl/>
        <w:spacing w:line="360" w:lineRule="exact"/>
        <w:ind w:firstLineChars="200" w:firstLine="480"/>
        <w:jc w:val="left"/>
        <w:rPr>
          <w:rFonts w:ascii="楷体_GB2312" w:eastAsia="楷体_GB2312" w:hAnsi="宋体"/>
          <w:color w:val="000000"/>
          <w:sz w:val="24"/>
        </w:rPr>
      </w:pPr>
      <w:r w:rsidRPr="00DB6BBE">
        <w:rPr>
          <w:rFonts w:ascii="楷体_GB2312" w:eastAsia="楷体_GB2312" w:cs="楷体_GB2312" w:hint="eastAsia"/>
          <w:color w:val="000000"/>
          <w:kern w:val="0"/>
          <w:sz w:val="24"/>
        </w:rPr>
        <w:t>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不保证本金及收益，</w:t>
      </w:r>
      <w:r>
        <w:rPr>
          <w:rFonts w:ascii="楷体_GB2312" w:eastAsia="楷体_GB2312" w:cs="楷体_GB2312" w:hint="eastAsia"/>
          <w:color w:val="000000"/>
          <w:kern w:val="0"/>
          <w:sz w:val="24"/>
        </w:rPr>
        <w:t>广东南粤银行</w:t>
      </w:r>
      <w:r w:rsidRPr="00DB6BBE">
        <w:rPr>
          <w:rFonts w:ascii="楷体_GB2312" w:eastAsia="楷体_GB2312" w:cs="楷体_GB2312" w:hint="eastAsia"/>
          <w:color w:val="000000"/>
          <w:kern w:val="0"/>
          <w:sz w:val="24"/>
        </w:rPr>
        <w:t>对本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不做出任何保本或收益承诺</w:t>
      </w:r>
      <w:r>
        <w:rPr>
          <w:rFonts w:ascii="楷体_GB2312" w:eastAsia="楷体_GB2312" w:hAnsi="宋体" w:hint="eastAsia"/>
          <w:color w:val="000000"/>
          <w:sz w:val="24"/>
        </w:rPr>
        <w:t>。</w:t>
      </w:r>
    </w:p>
    <w:p w:rsidR="00BB424F" w:rsidRDefault="00BB424F" w:rsidP="00D225CB">
      <w:pPr>
        <w:widowControl/>
        <w:spacing w:line="360" w:lineRule="exact"/>
        <w:ind w:firstLineChars="200" w:firstLine="480"/>
        <w:jc w:val="left"/>
        <w:rPr>
          <w:rFonts w:ascii="楷体_GB2312" w:eastAsia="楷体_GB2312" w:hAnsi="宋体"/>
          <w:color w:val="000000"/>
          <w:sz w:val="24"/>
        </w:rPr>
      </w:pPr>
    </w:p>
    <w:p w:rsidR="00EB61DC"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1、理财计划本金与收益率测算</w:t>
      </w:r>
    </w:p>
    <w:p w:rsidR="004532ED"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w:t>
      </w:r>
      <w:r w:rsidR="004532ED" w:rsidRPr="00D225CB">
        <w:rPr>
          <w:rFonts w:ascii="楷体_GB2312" w:eastAsia="楷体_GB2312" w:hAnsi="宋体" w:hint="eastAsia"/>
          <w:color w:val="000000"/>
          <w:sz w:val="24"/>
          <w:szCs w:val="24"/>
        </w:rPr>
        <w:t>收益测算公式：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本产品收益＝投资收益—</w:t>
      </w:r>
      <w:r w:rsidR="00DB7B21">
        <w:rPr>
          <w:rFonts w:ascii="楷体_GB2312" w:eastAsia="楷体_GB2312" w:hAnsi="宋体" w:hint="eastAsia"/>
          <w:color w:val="000000"/>
          <w:sz w:val="24"/>
          <w:szCs w:val="24"/>
        </w:rPr>
        <w:t>投资相关</w:t>
      </w:r>
      <w:r w:rsidR="00DB7B21">
        <w:rPr>
          <w:rFonts w:ascii="楷体_GB2312" w:eastAsia="楷体_GB2312" w:hAnsi="宋体"/>
          <w:color w:val="000000"/>
          <w:sz w:val="24"/>
          <w:szCs w:val="24"/>
        </w:rPr>
        <w:t>成本</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理财产品到期支付款项=理财产品本金+本产品收益</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w:t>
      </w:r>
      <w:r w:rsidR="003D003F">
        <w:rPr>
          <w:rFonts w:ascii="楷体_GB2312" w:eastAsia="楷体_GB2312" w:hAnsi="宋体" w:hint="eastAsia"/>
          <w:color w:val="000000"/>
          <w:sz w:val="24"/>
          <w:szCs w:val="24"/>
        </w:rPr>
        <w:t>2</w:t>
      </w:r>
      <w:r w:rsidRPr="00D225CB">
        <w:rPr>
          <w:rFonts w:ascii="楷体_GB2312" w:eastAsia="楷体_GB2312" w:hAnsi="宋体" w:hint="eastAsia"/>
          <w:color w:val="000000"/>
          <w:sz w:val="24"/>
          <w:szCs w:val="24"/>
        </w:rPr>
        <w:t>）收益测算说明：</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以上收益测算是基于数据引用期间的金融市场相关报价，并不是理财计划的最终收益率。</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投资者到期收到款项按</w:t>
      </w:r>
      <w:r w:rsidR="00211D75">
        <w:rPr>
          <w:rFonts w:ascii="楷体_GB2312" w:eastAsia="楷体_GB2312" w:hAnsi="宋体" w:hint="eastAsia"/>
          <w:color w:val="000000"/>
          <w:sz w:val="24"/>
          <w:szCs w:val="24"/>
        </w:rPr>
        <w:t>四舍五入</w:t>
      </w:r>
      <w:r w:rsidRPr="00D225CB">
        <w:rPr>
          <w:rFonts w:ascii="楷体_GB2312" w:eastAsia="楷体_GB2312" w:hAnsi="宋体" w:hint="eastAsia"/>
          <w:color w:val="000000"/>
          <w:sz w:val="24"/>
          <w:szCs w:val="24"/>
        </w:rPr>
        <w:t>法保留两位小数。</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 xml:space="preserve">2、投资者所得收益说明: </w:t>
      </w:r>
    </w:p>
    <w:p w:rsidR="00DB7B21" w:rsidRDefault="00D225CB" w:rsidP="00DB7B21">
      <w:pPr>
        <w:autoSpaceDE w:val="0"/>
        <w:autoSpaceDN w:val="0"/>
        <w:adjustRightInd w:val="0"/>
        <w:spacing w:line="360" w:lineRule="exact"/>
        <w:ind w:right="-499" w:firstLineChars="194" w:firstLine="466"/>
        <w:jc w:val="left"/>
        <w:rPr>
          <w:rFonts w:ascii="楷体_GB2312" w:eastAsia="楷体_GB2312" w:hAnsi="华文楷体"/>
          <w:sz w:val="24"/>
        </w:rPr>
      </w:pPr>
      <w:r>
        <w:rPr>
          <w:rFonts w:ascii="楷体_GB2312" w:eastAsia="楷体_GB2312" w:hAnsi="宋体" w:hint="eastAsia"/>
          <w:color w:val="000000"/>
          <w:sz w:val="24"/>
          <w:szCs w:val="24"/>
        </w:rPr>
        <w:lastRenderedPageBreak/>
        <w:t>（1）</w:t>
      </w:r>
      <w:r w:rsidR="00DB7B21" w:rsidRPr="00C26B36">
        <w:rPr>
          <w:rFonts w:ascii="楷体_GB2312" w:eastAsia="楷体_GB2312" w:hAnsi="华文楷体" w:hint="eastAsia"/>
          <w:sz w:val="24"/>
        </w:rPr>
        <w:t>当理财计划实现的年化收益率超出参考年化收益率时，投资者只能获得本说明书中注明的对应档次参考年化收益率，超出部分作为广东南粤银行管理费；若小于本说明书中的对应档次的参考年化收益率，投资者到期年化收益率则根据资产实际回收情况计算。</w:t>
      </w:r>
    </w:p>
    <w:p w:rsidR="004532ED" w:rsidRPr="00D225CB" w:rsidRDefault="004532ED" w:rsidP="00DB7B21">
      <w:pPr>
        <w:autoSpaceDE w:val="0"/>
        <w:autoSpaceDN w:val="0"/>
        <w:adjustRightInd w:val="0"/>
        <w:spacing w:line="360" w:lineRule="exact"/>
        <w:ind w:right="-499" w:firstLineChars="194" w:firstLine="466"/>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计算公式：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投资者理财收益=理财本金×投资者到期年化收益率×实际理财天数/365</w:t>
      </w:r>
    </w:p>
    <w:p w:rsidR="00DD673F" w:rsidRPr="00DD673F" w:rsidRDefault="004532ED" w:rsidP="0033744F">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（2）</w:t>
      </w:r>
      <w:r w:rsidRPr="006D20EC">
        <w:rPr>
          <w:rFonts w:ascii="楷体_GB2312" w:eastAsia="楷体_GB2312" w:hAnsi="宋体" w:hint="eastAsia"/>
          <w:color w:val="000000"/>
          <w:sz w:val="24"/>
          <w:szCs w:val="24"/>
        </w:rPr>
        <w:t>计算示例</w:t>
      </w:r>
      <w:r w:rsidRPr="00D225CB">
        <w:rPr>
          <w:rFonts w:ascii="楷体_GB2312" w:eastAsia="楷体_GB2312" w:hAnsi="宋体" w:hint="eastAsia"/>
          <w:color w:val="000000"/>
          <w:sz w:val="24"/>
          <w:szCs w:val="24"/>
        </w:rPr>
        <w:t xml:space="preserve">： </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假设个人客户理财本金为</w:t>
      </w:r>
      <w:r w:rsidR="007A56E0">
        <w:rPr>
          <w:rFonts w:ascii="楷体_GB2312" w:eastAsia="楷体_GB2312" w:hAnsi="宋体" w:hint="eastAsia"/>
          <w:color w:val="000000"/>
          <w:sz w:val="24"/>
          <w:szCs w:val="24"/>
        </w:rPr>
        <w:t>5</w:t>
      </w:r>
      <w:r w:rsidR="00F02688">
        <w:rPr>
          <w:rFonts w:ascii="楷体_GB2312" w:eastAsia="楷体_GB2312" w:hAnsi="宋体" w:hint="eastAsia"/>
          <w:color w:val="000000"/>
          <w:sz w:val="24"/>
          <w:szCs w:val="24"/>
        </w:rPr>
        <w:t>0,000</w:t>
      </w:r>
      <w:r w:rsidRPr="00DD673F">
        <w:rPr>
          <w:rFonts w:ascii="楷体_GB2312" w:eastAsia="楷体_GB2312" w:hAnsi="宋体" w:hint="eastAsia"/>
          <w:color w:val="000000"/>
          <w:sz w:val="24"/>
          <w:szCs w:val="24"/>
        </w:rPr>
        <w:t>元，对应档次的预期最高年化参考收益率为</w:t>
      </w:r>
      <w:r w:rsidR="00901DD0">
        <w:rPr>
          <w:rFonts w:ascii="楷体_GB2312" w:eastAsia="楷体_GB2312" w:hAnsi="宋体" w:cs="宋体" w:hint="eastAsia"/>
          <w:color w:val="000000"/>
          <w:kern w:val="0"/>
          <w:sz w:val="24"/>
        </w:rPr>
        <w:t>5.35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，实际理财天数</w:t>
      </w:r>
      <w:r w:rsidR="00901DD0">
        <w:rPr>
          <w:rFonts w:ascii="楷体_GB2312" w:eastAsia="楷体_GB2312" w:hAnsi="宋体"/>
          <w:color w:val="000000"/>
          <w:sz w:val="24"/>
          <w:szCs w:val="24"/>
        </w:rPr>
        <w:t>77</w:t>
      </w:r>
      <w:r w:rsidRPr="00DD673F">
        <w:rPr>
          <w:rFonts w:ascii="楷体_GB2312" w:eastAsia="楷体_GB2312" w:hAnsi="宋体" w:hint="eastAsia"/>
          <w:color w:val="000000"/>
          <w:sz w:val="24"/>
          <w:szCs w:val="24"/>
        </w:rPr>
        <w:t>天，</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A:若客户理财产品到期实现的年化收益率为</w:t>
      </w:r>
      <w:r w:rsidR="00744D52">
        <w:rPr>
          <w:rFonts w:ascii="楷体_GB2312" w:eastAsia="楷体_GB2312" w:hAnsi="宋体" w:cs="宋体" w:hint="eastAsia"/>
          <w:color w:val="000000"/>
          <w:kern w:val="0"/>
          <w:sz w:val="24"/>
        </w:rPr>
        <w:t>5</w:t>
      </w:r>
      <w:r w:rsidR="00F64391">
        <w:rPr>
          <w:rFonts w:ascii="楷体_GB2312" w:eastAsia="楷体_GB2312" w:hAnsi="宋体" w:cs="宋体"/>
          <w:color w:val="000000"/>
          <w:kern w:val="0"/>
          <w:sz w:val="24"/>
        </w:rPr>
        <w:t>.</w:t>
      </w:r>
      <w:r w:rsidR="00901DD0">
        <w:rPr>
          <w:rFonts w:ascii="楷体_GB2312" w:eastAsia="楷体_GB2312" w:hAnsi="宋体" w:cs="宋体" w:hint="eastAsia"/>
          <w:color w:val="000000"/>
          <w:kern w:val="0"/>
          <w:sz w:val="24"/>
        </w:rPr>
        <w:t>45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901DD0">
        <w:rPr>
          <w:rFonts w:ascii="楷体_GB2312" w:eastAsia="楷体_GB2312" w:hAnsi="宋体" w:cs="宋体" w:hint="eastAsia"/>
          <w:color w:val="000000"/>
          <w:kern w:val="0"/>
          <w:sz w:val="24"/>
        </w:rPr>
        <w:t>5.35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901DD0">
        <w:rPr>
          <w:rFonts w:ascii="楷体_GB2312" w:eastAsia="楷体_GB2312" w:hAnsi="宋体" w:hint="eastAsia"/>
          <w:color w:val="000000"/>
          <w:sz w:val="24"/>
          <w:szCs w:val="24"/>
        </w:rPr>
        <w:t>77</w:t>
      </w:r>
      <w:r w:rsidRPr="00DD673F">
        <w:rPr>
          <w:rFonts w:ascii="楷体_GB2312" w:eastAsia="楷体_GB2312" w:hAnsi="宋体" w:hint="eastAsia"/>
          <w:color w:val="000000"/>
          <w:sz w:val="24"/>
          <w:szCs w:val="24"/>
        </w:rPr>
        <w:t>/365=</w:t>
      </w:r>
      <w:r w:rsidR="00901DD0" w:rsidRPr="00901DD0">
        <w:rPr>
          <w:rFonts w:ascii="楷体_GB2312" w:eastAsia="楷体_GB2312" w:hAnsi="宋体"/>
          <w:color w:val="000000"/>
          <w:sz w:val="24"/>
          <w:szCs w:val="24"/>
        </w:rPr>
        <w:t xml:space="preserve"> 564.32</w:t>
      </w:r>
      <w:r w:rsidRPr="00DD673F">
        <w:rPr>
          <w:rFonts w:ascii="楷体_GB2312" w:eastAsia="楷体_GB2312" w:hAnsi="宋体" w:hint="eastAsia"/>
          <w:color w:val="000000"/>
          <w:sz w:val="24"/>
          <w:szCs w:val="24"/>
        </w:rPr>
        <w:t>元</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B：若客户理财产品到期实现的年化收益率为</w:t>
      </w:r>
      <w:r w:rsidR="0063296B">
        <w:rPr>
          <w:rFonts w:ascii="楷体_GB2312" w:eastAsia="楷体_GB2312" w:hAnsi="宋体" w:cs="宋体" w:hint="eastAsia"/>
          <w:color w:val="000000"/>
          <w:kern w:val="0"/>
          <w:sz w:val="24"/>
        </w:rPr>
        <w:t>5.</w:t>
      </w:r>
      <w:r w:rsidR="00901DD0">
        <w:rPr>
          <w:rFonts w:ascii="楷体_GB2312" w:eastAsia="楷体_GB2312" w:hAnsi="宋体" w:cs="宋体" w:hint="eastAsia"/>
          <w:color w:val="000000"/>
          <w:kern w:val="0"/>
          <w:sz w:val="24"/>
        </w:rPr>
        <w:t>25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Default="00DD673F" w:rsidP="00CA75C7">
      <w:pPr>
        <w:widowControl/>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3296B">
        <w:rPr>
          <w:rFonts w:ascii="楷体_GB2312" w:eastAsia="楷体_GB2312" w:hAnsi="宋体" w:cs="宋体" w:hint="eastAsia"/>
          <w:color w:val="000000"/>
          <w:kern w:val="0"/>
          <w:sz w:val="24"/>
        </w:rPr>
        <w:t>5.</w:t>
      </w:r>
      <w:r w:rsidR="00901DD0">
        <w:rPr>
          <w:rFonts w:ascii="楷体_GB2312" w:eastAsia="楷体_GB2312" w:hAnsi="宋体" w:cs="宋体" w:hint="eastAsia"/>
          <w:color w:val="000000"/>
          <w:kern w:val="0"/>
          <w:sz w:val="24"/>
        </w:rPr>
        <w:t>25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901DD0">
        <w:rPr>
          <w:rFonts w:ascii="楷体_GB2312" w:eastAsia="楷体_GB2312" w:hAnsi="宋体"/>
          <w:color w:val="000000"/>
          <w:sz w:val="24"/>
          <w:szCs w:val="24"/>
        </w:rPr>
        <w:t>77</w:t>
      </w:r>
      <w:r w:rsidRPr="00DD673F">
        <w:rPr>
          <w:rFonts w:ascii="楷体_GB2312" w:eastAsia="楷体_GB2312" w:hAnsi="宋体" w:hint="eastAsia"/>
          <w:color w:val="000000"/>
          <w:sz w:val="24"/>
          <w:szCs w:val="24"/>
        </w:rPr>
        <w:t>/365=</w:t>
      </w:r>
      <w:r w:rsidR="00901DD0" w:rsidRPr="00901DD0">
        <w:rPr>
          <w:rFonts w:ascii="楷体_GB2312" w:eastAsia="楷体_GB2312" w:hAnsi="宋体"/>
          <w:color w:val="000000"/>
          <w:sz w:val="24"/>
          <w:szCs w:val="24"/>
        </w:rPr>
        <w:t xml:space="preserve"> 553.77</w:t>
      </w:r>
      <w:r w:rsidRPr="00DD673F">
        <w:rPr>
          <w:rFonts w:ascii="楷体_GB2312" w:eastAsia="楷体_GB2312" w:hAnsi="宋体" w:hint="eastAsia"/>
          <w:color w:val="000000"/>
          <w:sz w:val="24"/>
          <w:szCs w:val="24"/>
        </w:rPr>
        <w:t>元</w:t>
      </w:r>
    </w:p>
    <w:p w:rsidR="006D4111" w:rsidRDefault="006D4111" w:rsidP="00CA75C7">
      <w:pPr>
        <w:widowControl/>
        <w:ind w:firstLineChars="200" w:firstLine="480"/>
        <w:jc w:val="left"/>
        <w:rPr>
          <w:rFonts w:ascii="楷体_GB2312" w:eastAsia="楷体_GB2312" w:hAnsi="宋体"/>
          <w:color w:val="000000"/>
          <w:sz w:val="24"/>
          <w:szCs w:val="24"/>
        </w:rPr>
      </w:pPr>
    </w:p>
    <w:p w:rsidR="006D4111" w:rsidRPr="00994D65" w:rsidRDefault="00994D65" w:rsidP="00994D65">
      <w:pPr>
        <w:widowControl/>
        <w:spacing w:line="360" w:lineRule="exact"/>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（上述示例数据均采用假设数据计算，测算收益不等于实际收益，投资须谨慎）</w:t>
      </w: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提前终止及到期清算</w:t>
      </w:r>
    </w:p>
    <w:p w:rsidR="0044325E" w:rsidRPr="00F45DB3" w:rsidRDefault="0044325E" w:rsidP="0044325E">
      <w:pPr>
        <w:spacing w:line="360" w:lineRule="exact"/>
        <w:ind w:firstLineChars="200" w:firstLine="480"/>
        <w:rPr>
          <w:rFonts w:ascii="楷体_GB2312" w:eastAsia="楷体_GB2312" w:hAnsi="宋体"/>
          <w:color w:val="000000"/>
          <w:sz w:val="24"/>
          <w:szCs w:val="24"/>
        </w:rPr>
      </w:pPr>
      <w:r w:rsidRPr="00F45DB3">
        <w:rPr>
          <w:rFonts w:ascii="楷体_GB2312" w:eastAsia="楷体_GB2312" w:hAnsi="宋体" w:hint="eastAsia"/>
          <w:color w:val="000000"/>
          <w:sz w:val="24"/>
          <w:szCs w:val="24"/>
        </w:rPr>
        <w:t>1、提前终止：本理财计划存续期内，投资者无提前终止权，不得提前赎回</w:t>
      </w:r>
      <w:r w:rsidRPr="00F45DB3">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可提前终止本理财计划</w:t>
      </w:r>
      <w:r w:rsidR="00E172AC">
        <w:rPr>
          <w:rFonts w:ascii="楷体_GB2312" w:eastAsia="楷体_GB2312" w:hAnsi="宋体" w:hint="eastAsia"/>
          <w:color w:val="000000"/>
          <w:sz w:val="24"/>
          <w:szCs w:val="24"/>
        </w:rPr>
        <w:t>。</w:t>
      </w:r>
      <w:r w:rsidRPr="00F45DB3">
        <w:rPr>
          <w:rFonts w:ascii="楷体_GB2312" w:eastAsia="楷体_GB2312" w:hAnsi="宋体" w:cs="宋体" w:hint="eastAsia"/>
          <w:color w:val="000000"/>
          <w:kern w:val="0"/>
          <w:sz w:val="24"/>
          <w:szCs w:val="24"/>
        </w:rPr>
        <w:t>在本理财计划销售期间，若遇政策调整、市场变化致使预期收益率无法达到的情况下，</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有权停止销售并退还本金，期间认购资金按同期活期利率计算利息。</w:t>
      </w:r>
    </w:p>
    <w:p w:rsidR="0044325E" w:rsidRPr="00F45DB3" w:rsidRDefault="0044325E" w:rsidP="00EE65A4">
      <w:pPr>
        <w:widowControl/>
        <w:spacing w:line="360" w:lineRule="exact"/>
        <w:ind w:firstLineChars="200" w:firstLine="480"/>
        <w:jc w:val="left"/>
        <w:rPr>
          <w:rFonts w:ascii="楷体_GB2312" w:eastAsia="楷体_GB2312" w:hAnsi="宋体"/>
          <w:color w:val="000000"/>
          <w:sz w:val="24"/>
          <w:szCs w:val="24"/>
        </w:rPr>
      </w:pPr>
      <w:r w:rsidRPr="00F45DB3">
        <w:rPr>
          <w:rFonts w:ascii="楷体_GB2312" w:eastAsia="楷体_GB2312" w:hAnsi="宋体" w:hint="eastAsia"/>
          <w:color w:val="000000"/>
          <w:sz w:val="24"/>
          <w:szCs w:val="24"/>
        </w:rPr>
        <w:t>2、到期清算日：</w:t>
      </w:r>
      <w:r w:rsidR="00901DD0" w:rsidRPr="00901DD0">
        <w:rPr>
          <w:rFonts w:ascii="楷体_GB2312" w:eastAsia="楷体_GB2312" w:hAnsi="宋体" w:hint="eastAsia"/>
          <w:color w:val="000000"/>
          <w:sz w:val="24"/>
          <w:szCs w:val="24"/>
        </w:rPr>
        <w:t>2015年10月9日</w:t>
      </w:r>
      <w:r w:rsidRPr="006D20EC">
        <w:rPr>
          <w:rFonts w:ascii="楷体_GB2312" w:eastAsia="楷体_GB2312" w:hAnsi="宋体" w:hint="eastAsia"/>
          <w:color w:val="000000"/>
          <w:sz w:val="24"/>
          <w:szCs w:val="24"/>
        </w:rPr>
        <w:t>至</w:t>
      </w:r>
      <w:r w:rsidR="00901DD0" w:rsidRPr="00901DD0">
        <w:rPr>
          <w:rFonts w:ascii="楷体_GB2312" w:eastAsia="楷体_GB2312" w:hAnsi="宋体" w:hint="eastAsia"/>
          <w:color w:val="000000"/>
          <w:sz w:val="24"/>
          <w:szCs w:val="24"/>
        </w:rPr>
        <w:t>2015年10月</w:t>
      </w:r>
      <w:r w:rsidR="00901DD0">
        <w:rPr>
          <w:rFonts w:ascii="楷体_GB2312" w:eastAsia="楷体_GB2312" w:hAnsi="宋体" w:hint="eastAsia"/>
          <w:color w:val="000000"/>
          <w:sz w:val="24"/>
          <w:szCs w:val="24"/>
        </w:rPr>
        <w:t>10</w:t>
      </w:r>
      <w:r w:rsidR="00901DD0" w:rsidRPr="00901DD0">
        <w:rPr>
          <w:rFonts w:ascii="楷体_GB2312" w:eastAsia="楷体_GB2312" w:hAnsi="宋体" w:hint="eastAsia"/>
          <w:color w:val="000000"/>
          <w:sz w:val="24"/>
          <w:szCs w:val="24"/>
        </w:rPr>
        <w:t>日</w:t>
      </w:r>
      <w:r w:rsidRPr="00F45DB3">
        <w:rPr>
          <w:rFonts w:ascii="楷体_GB2312" w:eastAsia="楷体_GB2312" w:hAnsi="宋体" w:hint="eastAsia"/>
          <w:color w:val="000000"/>
          <w:sz w:val="24"/>
          <w:szCs w:val="24"/>
        </w:rPr>
        <w:t>期间，逢假期顺延。适用假期：中国公众假期。清算期内本理财计划不计息。</w:t>
      </w:r>
    </w:p>
    <w:p w:rsidR="0044325E" w:rsidRPr="00F45DB3" w:rsidRDefault="0044325E" w:rsidP="0044325E">
      <w:pPr>
        <w:widowControl/>
        <w:spacing w:line="360" w:lineRule="exact"/>
        <w:jc w:val="left"/>
        <w:rPr>
          <w:rFonts w:ascii="楷体_GB2312" w:eastAsia="楷体_GB2312" w:hAnsi="宋体" w:cs="宋体"/>
          <w:color w:val="000000"/>
          <w:kern w:val="0"/>
          <w:sz w:val="24"/>
          <w:szCs w:val="24"/>
        </w:rPr>
      </w:pPr>
    </w:p>
    <w:p w:rsidR="0044325E" w:rsidRPr="00F45DB3" w:rsidRDefault="0044325E" w:rsidP="0044325E">
      <w:pPr>
        <w:widowControl/>
        <w:spacing w:line="360" w:lineRule="exact"/>
        <w:jc w:val="left"/>
        <w:rPr>
          <w:rFonts w:ascii="楷体_GB2312" w:eastAsia="楷体_GB2312" w:hAnsi="宋体" w:cs="宋体"/>
          <w:b/>
          <w:bCs/>
          <w:color w:val="000000"/>
          <w:kern w:val="0"/>
          <w:sz w:val="24"/>
          <w:szCs w:val="24"/>
        </w:rPr>
      </w:pPr>
      <w:r w:rsidRPr="00F45DB3">
        <w:rPr>
          <w:rFonts w:ascii="楷体_GB2312" w:eastAsia="楷体_GB2312" w:hAnsi="宋体" w:cs="宋体" w:hint="eastAsia"/>
          <w:b/>
          <w:bCs/>
          <w:color w:val="000000"/>
          <w:kern w:val="0"/>
          <w:sz w:val="24"/>
          <w:szCs w:val="24"/>
        </w:rPr>
        <w:t>信息披露及投诉方式</w:t>
      </w:r>
    </w:p>
    <w:p w:rsidR="009E5216" w:rsidRPr="00A94136" w:rsidRDefault="0044325E" w:rsidP="009E5216">
      <w:pPr>
        <w:widowControl/>
        <w:spacing w:line="360" w:lineRule="exact"/>
        <w:ind w:firstLineChars="200" w:firstLine="480"/>
        <w:jc w:val="left"/>
        <w:rPr>
          <w:rFonts w:ascii="楷体_GB2312" w:eastAsia="楷体_GB2312" w:hAnsi="宋体" w:cs="宋体"/>
          <w:color w:val="000000"/>
          <w:kern w:val="0"/>
          <w:sz w:val="24"/>
        </w:rPr>
      </w:pPr>
      <w:r w:rsidRPr="00F45DB3">
        <w:rPr>
          <w:rFonts w:ascii="楷体_GB2312" w:eastAsia="楷体_GB2312" w:hAnsi="宋体" w:cs="宋体" w:hint="eastAsia"/>
          <w:color w:val="000000"/>
          <w:kern w:val="0"/>
          <w:sz w:val="24"/>
          <w:szCs w:val="24"/>
        </w:rPr>
        <w:t>1、信息披露：</w:t>
      </w:r>
      <w:r w:rsidR="00C945A8">
        <w:rPr>
          <w:rFonts w:ascii="楷体_GB2312" w:eastAsia="楷体_GB2312" w:hAnsi="宋体" w:hint="eastAsia"/>
          <w:color w:val="000000"/>
          <w:sz w:val="24"/>
          <w:szCs w:val="24"/>
        </w:rPr>
        <w:t>广东南粤银行</w:t>
      </w:r>
      <w:r w:rsidRPr="00F45DB3">
        <w:rPr>
          <w:rFonts w:ascii="楷体_GB2312" w:eastAsia="楷体_GB2312" w:hAnsi="宋体" w:hint="eastAsia"/>
          <w:color w:val="000000"/>
          <w:sz w:val="24"/>
          <w:szCs w:val="24"/>
        </w:rPr>
        <w:t>不单独为投资者提供本理财计划的有关资产变动、收入和费用、期末资产估值等情况的账单。</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银行在到期日前1天内公布本理财计划的相关信息，投资者可到</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客户服务热线（0759－961818）</w:t>
      </w:r>
      <w:r w:rsidR="009E5216" w:rsidRPr="00A94136">
        <w:rPr>
          <w:rFonts w:ascii="楷体_GB2312" w:eastAsia="楷体_GB2312" w:hAnsi="宋体" w:cs="宋体" w:hint="eastAsia"/>
          <w:color w:val="000000"/>
          <w:kern w:val="0"/>
          <w:sz w:val="24"/>
        </w:rPr>
        <w:t>或登陆</w:t>
      </w:r>
      <w:r w:rsidR="009E5216">
        <w:rPr>
          <w:rFonts w:ascii="楷体_GB2312" w:eastAsia="楷体_GB2312" w:hAnsi="宋体" w:cs="宋体" w:hint="eastAsia"/>
          <w:color w:val="000000"/>
          <w:kern w:val="0"/>
          <w:sz w:val="24"/>
        </w:rPr>
        <w:t>广东南粤银行</w:t>
      </w:r>
      <w:r w:rsidR="009E5216" w:rsidRPr="00A94136">
        <w:rPr>
          <w:rFonts w:ascii="楷体_GB2312" w:eastAsia="楷体_GB2312" w:hAnsi="宋体" w:cs="宋体" w:hint="eastAsia"/>
          <w:color w:val="000000"/>
          <w:kern w:val="0"/>
          <w:sz w:val="24"/>
        </w:rPr>
        <w:t>网站:</w:t>
      </w:r>
      <w:r w:rsidR="009E5216" w:rsidRPr="005F0320">
        <w:t xml:space="preserve"> </w:t>
      </w:r>
      <w:r w:rsidR="009E5216" w:rsidRPr="005F0320">
        <w:rPr>
          <w:rFonts w:eastAsia="楷体_GB2312"/>
          <w:color w:val="000000"/>
          <w:sz w:val="24"/>
        </w:rPr>
        <w:t>http://www.gdnybank.com</w:t>
      </w:r>
      <w:r w:rsidR="009E5216" w:rsidRPr="00A94136">
        <w:rPr>
          <w:rFonts w:ascii="楷体_GB2312" w:eastAsia="楷体_GB2312" w:hAnsi="宋体" w:cs="宋体" w:hint="eastAsia"/>
          <w:color w:val="000000"/>
          <w:kern w:val="0"/>
          <w:sz w:val="24"/>
        </w:rPr>
        <w:t>进行查询。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2、如本理财计划发生提前终止，</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将于实际终止清算日的前1个工作日在</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发布相关信息公告。</w:t>
      </w:r>
    </w:p>
    <w:p w:rsidR="0044325E" w:rsidRDefault="0044325E" w:rsidP="004532ED">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3、投资者对本理财计划有任何异议或意见，可联系</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统一客户服务热线（0759－961818）。</w:t>
      </w: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Pr="00BA4CF8" w:rsidRDefault="007863DB" w:rsidP="00BA4CF8">
      <w:pPr>
        <w:spacing w:line="348" w:lineRule="auto"/>
        <w:rPr>
          <w:rFonts w:ascii="楷体_GB2312" w:eastAsia="楷体_GB2312" w:hAnsi="宋体"/>
          <w:b/>
          <w:color w:val="000000"/>
          <w:sz w:val="24"/>
        </w:rPr>
      </w:pPr>
      <w:r w:rsidRPr="00117816">
        <w:rPr>
          <w:rFonts w:ascii="楷体_GB2312" w:eastAsia="楷体_GB2312" w:hAnsi="宋体" w:hint="eastAsia"/>
          <w:b/>
          <w:color w:val="000000"/>
          <w:szCs w:val="21"/>
        </w:rPr>
        <w:t xml:space="preserve">         </w:t>
      </w:r>
      <w:r>
        <w:rPr>
          <w:rFonts w:ascii="楷体_GB2312" w:eastAsia="楷体_GB2312" w:hAnsi="宋体" w:hint="eastAsia"/>
          <w:b/>
          <w:color w:val="000000"/>
          <w:szCs w:val="21"/>
        </w:rPr>
        <w:t xml:space="preserve"> </w:t>
      </w:r>
      <w:r w:rsidRPr="00117816">
        <w:rPr>
          <w:rFonts w:ascii="楷体_GB2312" w:eastAsia="楷体_GB2312" w:hAnsi="宋体" w:hint="eastAsia"/>
          <w:b/>
          <w:color w:val="000000"/>
          <w:szCs w:val="21"/>
        </w:rPr>
        <w:t xml:space="preserve">            </w:t>
      </w:r>
      <w:r w:rsidR="00DD673F">
        <w:rPr>
          <w:rFonts w:ascii="楷体_GB2312" w:eastAsia="楷体_GB2312" w:hAnsi="宋体" w:hint="eastAsia"/>
          <w:b/>
          <w:color w:val="000000"/>
          <w:szCs w:val="21"/>
        </w:rPr>
        <w:t xml:space="preserve">             </w:t>
      </w:r>
      <w:r w:rsidR="00C945A8">
        <w:rPr>
          <w:rFonts w:ascii="楷体_GB2312" w:eastAsia="楷体_GB2312" w:hAnsi="宋体" w:hint="eastAsia"/>
          <w:b/>
          <w:color w:val="000000"/>
          <w:sz w:val="24"/>
        </w:rPr>
        <w:t>广东南粤银行</w:t>
      </w:r>
      <w:r w:rsidRPr="00117816">
        <w:rPr>
          <w:rFonts w:ascii="楷体_GB2312" w:eastAsia="楷体_GB2312" w:hAnsi="宋体" w:hint="eastAsia"/>
          <w:b/>
          <w:color w:val="000000"/>
          <w:sz w:val="24"/>
        </w:rPr>
        <w:t>股份有限公司</w:t>
      </w:r>
    </w:p>
    <w:sectPr w:rsidR="007863DB" w:rsidRPr="00BA4CF8" w:rsidSect="0095195A">
      <w:headerReference w:type="default" r:id="rId8"/>
      <w:footerReference w:type="even" r:id="rId9"/>
      <w:footerReference w:type="default" r:id="rId10"/>
      <w:pgSz w:w="11906" w:h="16838"/>
      <w:pgMar w:top="1021" w:right="1701" w:bottom="102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FBE" w:rsidRDefault="00867FBE">
      <w:r>
        <w:separator/>
      </w:r>
    </w:p>
  </w:endnote>
  <w:endnote w:type="continuationSeparator" w:id="0">
    <w:p w:rsidR="00867FBE" w:rsidRDefault="0086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4676" w:rsidRDefault="001046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24B6A">
      <w:rPr>
        <w:rStyle w:val="a6"/>
        <w:noProof/>
      </w:rPr>
      <w:t>1</w:t>
    </w:r>
    <w:r>
      <w:rPr>
        <w:rStyle w:val="a6"/>
      </w:rPr>
      <w:fldChar w:fldCharType="end"/>
    </w:r>
  </w:p>
  <w:p w:rsidR="00104676" w:rsidRDefault="001046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FBE" w:rsidRDefault="00867FBE">
      <w:r>
        <w:separator/>
      </w:r>
    </w:p>
  </w:footnote>
  <w:footnote w:type="continuationSeparator" w:id="0">
    <w:p w:rsidR="00867FBE" w:rsidRDefault="00867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D8467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32AE"/>
    <w:multiLevelType w:val="hybridMultilevel"/>
    <w:tmpl w:val="F8CAE030"/>
    <w:lvl w:ilvl="0" w:tplc="9360471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F0"/>
    <w:rsid w:val="0000394C"/>
    <w:rsid w:val="00036E7C"/>
    <w:rsid w:val="00041276"/>
    <w:rsid w:val="000677FA"/>
    <w:rsid w:val="00076088"/>
    <w:rsid w:val="000774DC"/>
    <w:rsid w:val="0008068E"/>
    <w:rsid w:val="00080B77"/>
    <w:rsid w:val="0008628A"/>
    <w:rsid w:val="00086E80"/>
    <w:rsid w:val="000A3D35"/>
    <w:rsid w:val="000A61DE"/>
    <w:rsid w:val="000A79D8"/>
    <w:rsid w:val="000A7C22"/>
    <w:rsid w:val="000C0F14"/>
    <w:rsid w:val="000C435A"/>
    <w:rsid w:val="000D3D11"/>
    <w:rsid w:val="000E1BF7"/>
    <w:rsid w:val="000E6E7A"/>
    <w:rsid w:val="0010323F"/>
    <w:rsid w:val="00103278"/>
    <w:rsid w:val="00104676"/>
    <w:rsid w:val="00107F39"/>
    <w:rsid w:val="00113E18"/>
    <w:rsid w:val="00115FB8"/>
    <w:rsid w:val="00134741"/>
    <w:rsid w:val="00140935"/>
    <w:rsid w:val="00142C90"/>
    <w:rsid w:val="00146EC5"/>
    <w:rsid w:val="00155928"/>
    <w:rsid w:val="00156362"/>
    <w:rsid w:val="001573AD"/>
    <w:rsid w:val="00170395"/>
    <w:rsid w:val="00171F31"/>
    <w:rsid w:val="001734CE"/>
    <w:rsid w:val="0017458B"/>
    <w:rsid w:val="00186D74"/>
    <w:rsid w:val="001943B4"/>
    <w:rsid w:val="001A6CE5"/>
    <w:rsid w:val="001C3A21"/>
    <w:rsid w:val="001C5669"/>
    <w:rsid w:val="001C6738"/>
    <w:rsid w:val="001D2396"/>
    <w:rsid w:val="001D4564"/>
    <w:rsid w:val="001E5188"/>
    <w:rsid w:val="002000F8"/>
    <w:rsid w:val="00201B60"/>
    <w:rsid w:val="002031AD"/>
    <w:rsid w:val="00210EB4"/>
    <w:rsid w:val="00211D75"/>
    <w:rsid w:val="00212452"/>
    <w:rsid w:val="00216504"/>
    <w:rsid w:val="00216EF8"/>
    <w:rsid w:val="0022401F"/>
    <w:rsid w:val="00233531"/>
    <w:rsid w:val="00233C15"/>
    <w:rsid w:val="002377DE"/>
    <w:rsid w:val="00242E85"/>
    <w:rsid w:val="00251914"/>
    <w:rsid w:val="002529AA"/>
    <w:rsid w:val="00267708"/>
    <w:rsid w:val="00267C90"/>
    <w:rsid w:val="00280D20"/>
    <w:rsid w:val="00285750"/>
    <w:rsid w:val="002866AF"/>
    <w:rsid w:val="00287394"/>
    <w:rsid w:val="00287EE6"/>
    <w:rsid w:val="00297523"/>
    <w:rsid w:val="002A1F03"/>
    <w:rsid w:val="002A53A2"/>
    <w:rsid w:val="002A6ACF"/>
    <w:rsid w:val="002B332B"/>
    <w:rsid w:val="002B6AAD"/>
    <w:rsid w:val="002B70EA"/>
    <w:rsid w:val="002C6447"/>
    <w:rsid w:val="002E2301"/>
    <w:rsid w:val="002E7CA7"/>
    <w:rsid w:val="002F2AFE"/>
    <w:rsid w:val="002F3421"/>
    <w:rsid w:val="002F6DF0"/>
    <w:rsid w:val="00313477"/>
    <w:rsid w:val="00317FD2"/>
    <w:rsid w:val="003202B3"/>
    <w:rsid w:val="00325751"/>
    <w:rsid w:val="003320C6"/>
    <w:rsid w:val="0033405C"/>
    <w:rsid w:val="00334186"/>
    <w:rsid w:val="00335F4C"/>
    <w:rsid w:val="0033744F"/>
    <w:rsid w:val="00341556"/>
    <w:rsid w:val="0034380D"/>
    <w:rsid w:val="00344EEA"/>
    <w:rsid w:val="00354B5B"/>
    <w:rsid w:val="003633E1"/>
    <w:rsid w:val="00366F5C"/>
    <w:rsid w:val="00370CC9"/>
    <w:rsid w:val="00373CCB"/>
    <w:rsid w:val="00375D02"/>
    <w:rsid w:val="00376D64"/>
    <w:rsid w:val="00381352"/>
    <w:rsid w:val="00384456"/>
    <w:rsid w:val="00385290"/>
    <w:rsid w:val="00387821"/>
    <w:rsid w:val="00393559"/>
    <w:rsid w:val="00395B52"/>
    <w:rsid w:val="003A4131"/>
    <w:rsid w:val="003A5865"/>
    <w:rsid w:val="003A5DB0"/>
    <w:rsid w:val="003B1D73"/>
    <w:rsid w:val="003C0BA8"/>
    <w:rsid w:val="003C6FF4"/>
    <w:rsid w:val="003D003F"/>
    <w:rsid w:val="003D7EE6"/>
    <w:rsid w:val="003E3396"/>
    <w:rsid w:val="003E6C47"/>
    <w:rsid w:val="003E715A"/>
    <w:rsid w:val="00403907"/>
    <w:rsid w:val="00414210"/>
    <w:rsid w:val="00414905"/>
    <w:rsid w:val="00414E58"/>
    <w:rsid w:val="00415C6A"/>
    <w:rsid w:val="004161F0"/>
    <w:rsid w:val="004163F8"/>
    <w:rsid w:val="00422448"/>
    <w:rsid w:val="00422AD1"/>
    <w:rsid w:val="00423646"/>
    <w:rsid w:val="004239E2"/>
    <w:rsid w:val="004239ED"/>
    <w:rsid w:val="00424561"/>
    <w:rsid w:val="00424B6A"/>
    <w:rsid w:val="004267D5"/>
    <w:rsid w:val="00436D6E"/>
    <w:rsid w:val="0044325E"/>
    <w:rsid w:val="0044635C"/>
    <w:rsid w:val="004532ED"/>
    <w:rsid w:val="00455F9E"/>
    <w:rsid w:val="0047244E"/>
    <w:rsid w:val="004726DB"/>
    <w:rsid w:val="00473E1B"/>
    <w:rsid w:val="00477116"/>
    <w:rsid w:val="00486BF7"/>
    <w:rsid w:val="00490A84"/>
    <w:rsid w:val="004937C7"/>
    <w:rsid w:val="004A16F9"/>
    <w:rsid w:val="004A5F00"/>
    <w:rsid w:val="004B2649"/>
    <w:rsid w:val="004B3BA0"/>
    <w:rsid w:val="004B7C54"/>
    <w:rsid w:val="004C303C"/>
    <w:rsid w:val="004C4134"/>
    <w:rsid w:val="004C5CCB"/>
    <w:rsid w:val="004D07A6"/>
    <w:rsid w:val="004D2A9F"/>
    <w:rsid w:val="004D66B0"/>
    <w:rsid w:val="004E4666"/>
    <w:rsid w:val="004E6D66"/>
    <w:rsid w:val="004F2260"/>
    <w:rsid w:val="004F69C2"/>
    <w:rsid w:val="004F6FC1"/>
    <w:rsid w:val="00507730"/>
    <w:rsid w:val="00510E5E"/>
    <w:rsid w:val="0051377D"/>
    <w:rsid w:val="005162D7"/>
    <w:rsid w:val="005163C6"/>
    <w:rsid w:val="00522E13"/>
    <w:rsid w:val="00533E40"/>
    <w:rsid w:val="00544D9A"/>
    <w:rsid w:val="005452BA"/>
    <w:rsid w:val="0055295E"/>
    <w:rsid w:val="00563190"/>
    <w:rsid w:val="005636F8"/>
    <w:rsid w:val="005753CD"/>
    <w:rsid w:val="005803F2"/>
    <w:rsid w:val="005A018A"/>
    <w:rsid w:val="005A02CA"/>
    <w:rsid w:val="005B2617"/>
    <w:rsid w:val="005B3535"/>
    <w:rsid w:val="005B6E99"/>
    <w:rsid w:val="005B75CC"/>
    <w:rsid w:val="005D1BF1"/>
    <w:rsid w:val="005D2BFC"/>
    <w:rsid w:val="005E38ED"/>
    <w:rsid w:val="005F02C0"/>
    <w:rsid w:val="005F072F"/>
    <w:rsid w:val="005F3CB9"/>
    <w:rsid w:val="005F3D98"/>
    <w:rsid w:val="005F40C9"/>
    <w:rsid w:val="00611252"/>
    <w:rsid w:val="00615F19"/>
    <w:rsid w:val="006230FA"/>
    <w:rsid w:val="00626695"/>
    <w:rsid w:val="00630A69"/>
    <w:rsid w:val="00630ED5"/>
    <w:rsid w:val="0063296B"/>
    <w:rsid w:val="006349F0"/>
    <w:rsid w:val="0063694F"/>
    <w:rsid w:val="006422B2"/>
    <w:rsid w:val="00645B02"/>
    <w:rsid w:val="00656404"/>
    <w:rsid w:val="0065778A"/>
    <w:rsid w:val="00661E74"/>
    <w:rsid w:val="006638E6"/>
    <w:rsid w:val="00673137"/>
    <w:rsid w:val="00684DF8"/>
    <w:rsid w:val="006850D9"/>
    <w:rsid w:val="006935EA"/>
    <w:rsid w:val="00696960"/>
    <w:rsid w:val="006A03F6"/>
    <w:rsid w:val="006A18D8"/>
    <w:rsid w:val="006A27B6"/>
    <w:rsid w:val="006A5C46"/>
    <w:rsid w:val="006A63CA"/>
    <w:rsid w:val="006A6BAC"/>
    <w:rsid w:val="006A70B9"/>
    <w:rsid w:val="006B3E7A"/>
    <w:rsid w:val="006B6BED"/>
    <w:rsid w:val="006C2B60"/>
    <w:rsid w:val="006C3772"/>
    <w:rsid w:val="006C5978"/>
    <w:rsid w:val="006C6632"/>
    <w:rsid w:val="006D20EC"/>
    <w:rsid w:val="006D4111"/>
    <w:rsid w:val="006D4CDF"/>
    <w:rsid w:val="006E018A"/>
    <w:rsid w:val="006E19F1"/>
    <w:rsid w:val="006E1ED5"/>
    <w:rsid w:val="006F0939"/>
    <w:rsid w:val="006F0BF7"/>
    <w:rsid w:val="006F6A06"/>
    <w:rsid w:val="00701A8A"/>
    <w:rsid w:val="00703475"/>
    <w:rsid w:val="00704D60"/>
    <w:rsid w:val="007065CA"/>
    <w:rsid w:val="00707686"/>
    <w:rsid w:val="00720C96"/>
    <w:rsid w:val="00721433"/>
    <w:rsid w:val="00721551"/>
    <w:rsid w:val="00723FD1"/>
    <w:rsid w:val="0072435B"/>
    <w:rsid w:val="00727F24"/>
    <w:rsid w:val="00731F97"/>
    <w:rsid w:val="007358DC"/>
    <w:rsid w:val="007362F1"/>
    <w:rsid w:val="00737B1C"/>
    <w:rsid w:val="0074001B"/>
    <w:rsid w:val="0074126A"/>
    <w:rsid w:val="007425AA"/>
    <w:rsid w:val="00742B71"/>
    <w:rsid w:val="00744D52"/>
    <w:rsid w:val="00745233"/>
    <w:rsid w:val="00745E8F"/>
    <w:rsid w:val="0074672A"/>
    <w:rsid w:val="007509E0"/>
    <w:rsid w:val="00750F64"/>
    <w:rsid w:val="0075283D"/>
    <w:rsid w:val="00753C39"/>
    <w:rsid w:val="00756434"/>
    <w:rsid w:val="00760771"/>
    <w:rsid w:val="00765954"/>
    <w:rsid w:val="00770212"/>
    <w:rsid w:val="0078063C"/>
    <w:rsid w:val="007843ED"/>
    <w:rsid w:val="007863DB"/>
    <w:rsid w:val="007967C3"/>
    <w:rsid w:val="007A1FC9"/>
    <w:rsid w:val="007A56E0"/>
    <w:rsid w:val="007A5BD8"/>
    <w:rsid w:val="007A6550"/>
    <w:rsid w:val="007B0157"/>
    <w:rsid w:val="007B3145"/>
    <w:rsid w:val="007C030C"/>
    <w:rsid w:val="007C0FEF"/>
    <w:rsid w:val="007C7E35"/>
    <w:rsid w:val="007D21BB"/>
    <w:rsid w:val="007D3FC5"/>
    <w:rsid w:val="007E09F0"/>
    <w:rsid w:val="007E30D8"/>
    <w:rsid w:val="007E585D"/>
    <w:rsid w:val="00800E05"/>
    <w:rsid w:val="00801CBC"/>
    <w:rsid w:val="00803E8A"/>
    <w:rsid w:val="00805423"/>
    <w:rsid w:val="00806CC3"/>
    <w:rsid w:val="00822FEF"/>
    <w:rsid w:val="00834A79"/>
    <w:rsid w:val="0083639F"/>
    <w:rsid w:val="00842A1D"/>
    <w:rsid w:val="00846AA0"/>
    <w:rsid w:val="008471DF"/>
    <w:rsid w:val="00853974"/>
    <w:rsid w:val="008625BD"/>
    <w:rsid w:val="00863DBD"/>
    <w:rsid w:val="0086698D"/>
    <w:rsid w:val="00867EF9"/>
    <w:rsid w:val="00867FB1"/>
    <w:rsid w:val="00867FBE"/>
    <w:rsid w:val="00873D71"/>
    <w:rsid w:val="00876551"/>
    <w:rsid w:val="008767F0"/>
    <w:rsid w:val="0088190B"/>
    <w:rsid w:val="00881A36"/>
    <w:rsid w:val="008843B7"/>
    <w:rsid w:val="00885A5D"/>
    <w:rsid w:val="00891B1D"/>
    <w:rsid w:val="00892846"/>
    <w:rsid w:val="00893485"/>
    <w:rsid w:val="008A5264"/>
    <w:rsid w:val="008B604E"/>
    <w:rsid w:val="008B7DEA"/>
    <w:rsid w:val="008D1315"/>
    <w:rsid w:val="008E79FD"/>
    <w:rsid w:val="008F1C24"/>
    <w:rsid w:val="008F291F"/>
    <w:rsid w:val="008F3567"/>
    <w:rsid w:val="00900380"/>
    <w:rsid w:val="00901A2E"/>
    <w:rsid w:val="00901DD0"/>
    <w:rsid w:val="00902DF5"/>
    <w:rsid w:val="00903AD4"/>
    <w:rsid w:val="00921F8B"/>
    <w:rsid w:val="009349FD"/>
    <w:rsid w:val="00937793"/>
    <w:rsid w:val="0095195A"/>
    <w:rsid w:val="0095412B"/>
    <w:rsid w:val="009659E2"/>
    <w:rsid w:val="009835AD"/>
    <w:rsid w:val="00987DEC"/>
    <w:rsid w:val="009915D0"/>
    <w:rsid w:val="009916E0"/>
    <w:rsid w:val="00994D65"/>
    <w:rsid w:val="009A2BA5"/>
    <w:rsid w:val="009A5CC6"/>
    <w:rsid w:val="009B1B69"/>
    <w:rsid w:val="009C2B2B"/>
    <w:rsid w:val="009C6946"/>
    <w:rsid w:val="009D1C45"/>
    <w:rsid w:val="009E5216"/>
    <w:rsid w:val="009E622F"/>
    <w:rsid w:val="009F1138"/>
    <w:rsid w:val="00A03CFD"/>
    <w:rsid w:val="00A06951"/>
    <w:rsid w:val="00A22257"/>
    <w:rsid w:val="00A249CA"/>
    <w:rsid w:val="00A257E8"/>
    <w:rsid w:val="00A31C18"/>
    <w:rsid w:val="00A33B45"/>
    <w:rsid w:val="00A44DA2"/>
    <w:rsid w:val="00A558C2"/>
    <w:rsid w:val="00A61E36"/>
    <w:rsid w:val="00A61FCC"/>
    <w:rsid w:val="00A63A40"/>
    <w:rsid w:val="00A67ED3"/>
    <w:rsid w:val="00A70718"/>
    <w:rsid w:val="00A710CD"/>
    <w:rsid w:val="00A71AD5"/>
    <w:rsid w:val="00A73075"/>
    <w:rsid w:val="00A750FE"/>
    <w:rsid w:val="00A94332"/>
    <w:rsid w:val="00A965CD"/>
    <w:rsid w:val="00AA13B1"/>
    <w:rsid w:val="00AA22BA"/>
    <w:rsid w:val="00AA519D"/>
    <w:rsid w:val="00AB1DB1"/>
    <w:rsid w:val="00AB2072"/>
    <w:rsid w:val="00AB5601"/>
    <w:rsid w:val="00AD2979"/>
    <w:rsid w:val="00AD305B"/>
    <w:rsid w:val="00AE0C36"/>
    <w:rsid w:val="00AF1D8C"/>
    <w:rsid w:val="00AF5F72"/>
    <w:rsid w:val="00AF638C"/>
    <w:rsid w:val="00AF7646"/>
    <w:rsid w:val="00AF7E83"/>
    <w:rsid w:val="00B02449"/>
    <w:rsid w:val="00B1000E"/>
    <w:rsid w:val="00B12A04"/>
    <w:rsid w:val="00B177E4"/>
    <w:rsid w:val="00B23145"/>
    <w:rsid w:val="00B3142B"/>
    <w:rsid w:val="00B325DC"/>
    <w:rsid w:val="00B42C51"/>
    <w:rsid w:val="00B539FD"/>
    <w:rsid w:val="00B62C59"/>
    <w:rsid w:val="00B63CCD"/>
    <w:rsid w:val="00B71F5C"/>
    <w:rsid w:val="00B74CFA"/>
    <w:rsid w:val="00B75BAF"/>
    <w:rsid w:val="00B76236"/>
    <w:rsid w:val="00B83D69"/>
    <w:rsid w:val="00B84D9F"/>
    <w:rsid w:val="00B96BBC"/>
    <w:rsid w:val="00BA1F3C"/>
    <w:rsid w:val="00BA27F0"/>
    <w:rsid w:val="00BA4CF8"/>
    <w:rsid w:val="00BB0AED"/>
    <w:rsid w:val="00BB424F"/>
    <w:rsid w:val="00BB5350"/>
    <w:rsid w:val="00BB61D7"/>
    <w:rsid w:val="00BC1D2D"/>
    <w:rsid w:val="00BC23F1"/>
    <w:rsid w:val="00BD4025"/>
    <w:rsid w:val="00BD4416"/>
    <w:rsid w:val="00BE4F9A"/>
    <w:rsid w:val="00BE5B43"/>
    <w:rsid w:val="00BF2A28"/>
    <w:rsid w:val="00BF2D1A"/>
    <w:rsid w:val="00BF40EE"/>
    <w:rsid w:val="00C064DD"/>
    <w:rsid w:val="00C10BF5"/>
    <w:rsid w:val="00C12193"/>
    <w:rsid w:val="00C23FB8"/>
    <w:rsid w:val="00C36AEB"/>
    <w:rsid w:val="00C43FF5"/>
    <w:rsid w:val="00C44902"/>
    <w:rsid w:val="00C476C7"/>
    <w:rsid w:val="00C47A63"/>
    <w:rsid w:val="00C5048C"/>
    <w:rsid w:val="00C50ED3"/>
    <w:rsid w:val="00C614C1"/>
    <w:rsid w:val="00C614DC"/>
    <w:rsid w:val="00C66502"/>
    <w:rsid w:val="00C66F4F"/>
    <w:rsid w:val="00C679A2"/>
    <w:rsid w:val="00C729C7"/>
    <w:rsid w:val="00C76622"/>
    <w:rsid w:val="00C7788C"/>
    <w:rsid w:val="00C83891"/>
    <w:rsid w:val="00C945A8"/>
    <w:rsid w:val="00C956ED"/>
    <w:rsid w:val="00CA45B4"/>
    <w:rsid w:val="00CA75C7"/>
    <w:rsid w:val="00CA7654"/>
    <w:rsid w:val="00CB129F"/>
    <w:rsid w:val="00CB2904"/>
    <w:rsid w:val="00CB4B1B"/>
    <w:rsid w:val="00CB511A"/>
    <w:rsid w:val="00CC2F4F"/>
    <w:rsid w:val="00CC771D"/>
    <w:rsid w:val="00CC787E"/>
    <w:rsid w:val="00CD6012"/>
    <w:rsid w:val="00D07C6E"/>
    <w:rsid w:val="00D100FD"/>
    <w:rsid w:val="00D12965"/>
    <w:rsid w:val="00D15F96"/>
    <w:rsid w:val="00D20B79"/>
    <w:rsid w:val="00D225CB"/>
    <w:rsid w:val="00D24365"/>
    <w:rsid w:val="00D2455B"/>
    <w:rsid w:val="00D27591"/>
    <w:rsid w:val="00D31D12"/>
    <w:rsid w:val="00D32849"/>
    <w:rsid w:val="00D342B7"/>
    <w:rsid w:val="00D344BF"/>
    <w:rsid w:val="00D41CF3"/>
    <w:rsid w:val="00D5090A"/>
    <w:rsid w:val="00D60ED4"/>
    <w:rsid w:val="00D65569"/>
    <w:rsid w:val="00D67EBA"/>
    <w:rsid w:val="00D70B2A"/>
    <w:rsid w:val="00D70BC2"/>
    <w:rsid w:val="00D72A4B"/>
    <w:rsid w:val="00D7567C"/>
    <w:rsid w:val="00D84675"/>
    <w:rsid w:val="00D933D0"/>
    <w:rsid w:val="00D976EF"/>
    <w:rsid w:val="00DA0FEA"/>
    <w:rsid w:val="00DA43C9"/>
    <w:rsid w:val="00DA5798"/>
    <w:rsid w:val="00DA7D46"/>
    <w:rsid w:val="00DB2147"/>
    <w:rsid w:val="00DB4F86"/>
    <w:rsid w:val="00DB7B21"/>
    <w:rsid w:val="00DC6F94"/>
    <w:rsid w:val="00DD0F05"/>
    <w:rsid w:val="00DD4F4F"/>
    <w:rsid w:val="00DD5038"/>
    <w:rsid w:val="00DD673F"/>
    <w:rsid w:val="00DE2635"/>
    <w:rsid w:val="00DE4F5B"/>
    <w:rsid w:val="00DF0717"/>
    <w:rsid w:val="00DF2C92"/>
    <w:rsid w:val="00DF670C"/>
    <w:rsid w:val="00E0557A"/>
    <w:rsid w:val="00E109D5"/>
    <w:rsid w:val="00E1206F"/>
    <w:rsid w:val="00E13FA9"/>
    <w:rsid w:val="00E141C4"/>
    <w:rsid w:val="00E15420"/>
    <w:rsid w:val="00E15D9C"/>
    <w:rsid w:val="00E162FE"/>
    <w:rsid w:val="00E172AC"/>
    <w:rsid w:val="00E3248F"/>
    <w:rsid w:val="00E37688"/>
    <w:rsid w:val="00E376CA"/>
    <w:rsid w:val="00E415F1"/>
    <w:rsid w:val="00E41A04"/>
    <w:rsid w:val="00E42609"/>
    <w:rsid w:val="00E4269F"/>
    <w:rsid w:val="00E42831"/>
    <w:rsid w:val="00E4454F"/>
    <w:rsid w:val="00E51431"/>
    <w:rsid w:val="00E56D80"/>
    <w:rsid w:val="00E56E32"/>
    <w:rsid w:val="00E62714"/>
    <w:rsid w:val="00E63701"/>
    <w:rsid w:val="00E63E7F"/>
    <w:rsid w:val="00E640D2"/>
    <w:rsid w:val="00E67F9C"/>
    <w:rsid w:val="00E71B3D"/>
    <w:rsid w:val="00E77612"/>
    <w:rsid w:val="00E87114"/>
    <w:rsid w:val="00E92C5B"/>
    <w:rsid w:val="00EA6853"/>
    <w:rsid w:val="00EB247A"/>
    <w:rsid w:val="00EB2AC5"/>
    <w:rsid w:val="00EB61DC"/>
    <w:rsid w:val="00EC1B29"/>
    <w:rsid w:val="00ED1D81"/>
    <w:rsid w:val="00ED4994"/>
    <w:rsid w:val="00ED6CA3"/>
    <w:rsid w:val="00EE478B"/>
    <w:rsid w:val="00EE65A4"/>
    <w:rsid w:val="00EF02C2"/>
    <w:rsid w:val="00F002E4"/>
    <w:rsid w:val="00F02017"/>
    <w:rsid w:val="00F02548"/>
    <w:rsid w:val="00F02688"/>
    <w:rsid w:val="00F04E5E"/>
    <w:rsid w:val="00F0636E"/>
    <w:rsid w:val="00F07489"/>
    <w:rsid w:val="00F14E2F"/>
    <w:rsid w:val="00F200E2"/>
    <w:rsid w:val="00F21AEC"/>
    <w:rsid w:val="00F22642"/>
    <w:rsid w:val="00F24F1C"/>
    <w:rsid w:val="00F25649"/>
    <w:rsid w:val="00F26895"/>
    <w:rsid w:val="00F2738C"/>
    <w:rsid w:val="00F27BFC"/>
    <w:rsid w:val="00F33289"/>
    <w:rsid w:val="00F33678"/>
    <w:rsid w:val="00F34FF4"/>
    <w:rsid w:val="00F378DE"/>
    <w:rsid w:val="00F40FA6"/>
    <w:rsid w:val="00F45DB3"/>
    <w:rsid w:val="00F45DEF"/>
    <w:rsid w:val="00F47F5C"/>
    <w:rsid w:val="00F64391"/>
    <w:rsid w:val="00F666B5"/>
    <w:rsid w:val="00F775C4"/>
    <w:rsid w:val="00F93113"/>
    <w:rsid w:val="00FA22CB"/>
    <w:rsid w:val="00FA368C"/>
    <w:rsid w:val="00FA6653"/>
    <w:rsid w:val="00FB16A1"/>
    <w:rsid w:val="00FC2724"/>
    <w:rsid w:val="00FC2EA3"/>
    <w:rsid w:val="00FC51B1"/>
    <w:rsid w:val="00FC64EB"/>
    <w:rsid w:val="00FD1E94"/>
    <w:rsid w:val="00FD5BF6"/>
    <w:rsid w:val="00FE1A7C"/>
    <w:rsid w:val="00FE2D91"/>
    <w:rsid w:val="00FE6E56"/>
    <w:rsid w:val="00FF0558"/>
    <w:rsid w:val="00FF33F6"/>
    <w:rsid w:val="00FF34FF"/>
    <w:rsid w:val="00FF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6990">
      <w:bodyDiv w:val="1"/>
      <w:marLeft w:val="0"/>
      <w:marRight w:val="0"/>
      <w:marTop w:val="0"/>
      <w:marBottom w:val="0"/>
      <w:divBdr>
        <w:top w:val="none" w:sz="0" w:space="0" w:color="auto"/>
        <w:left w:val="none" w:sz="0" w:space="0" w:color="auto"/>
        <w:bottom w:val="none" w:sz="0" w:space="0" w:color="auto"/>
        <w:right w:val="none" w:sz="0" w:space="0" w:color="auto"/>
      </w:divBdr>
    </w:div>
    <w:div w:id="970280814">
      <w:bodyDiv w:val="1"/>
      <w:marLeft w:val="0"/>
      <w:marRight w:val="0"/>
      <w:marTop w:val="0"/>
      <w:marBottom w:val="0"/>
      <w:divBdr>
        <w:top w:val="none" w:sz="0" w:space="0" w:color="auto"/>
        <w:left w:val="none" w:sz="0" w:space="0" w:color="auto"/>
        <w:bottom w:val="none" w:sz="0" w:space="0" w:color="auto"/>
        <w:right w:val="none" w:sz="0" w:space="0" w:color="auto"/>
      </w:divBdr>
    </w:div>
    <w:div w:id="21152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558</Words>
  <Characters>3187</Characters>
  <Application>Microsoft Office Word</Application>
  <DocSecurity>0</DocSecurity>
  <Lines>26</Lines>
  <Paragraphs>7</Paragraphs>
  <ScaleCrop>false</ScaleCrop>
  <Company>微软中国</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湛江市商业银行“宝盈理财”</dc:title>
  <dc:creator>微软用户</dc:creator>
  <cp:lastModifiedBy>Administrator</cp:lastModifiedBy>
  <cp:revision>5</cp:revision>
  <cp:lastPrinted>2015-07-14T09:23:00Z</cp:lastPrinted>
  <dcterms:created xsi:type="dcterms:W3CDTF">2015-07-14T02:43:00Z</dcterms:created>
  <dcterms:modified xsi:type="dcterms:W3CDTF">2015-07-14T09:23:00Z</dcterms:modified>
</cp:coreProperties>
</file>