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xsi="http://www.w3.org/2001/XMLSchema-instance">
  <w:body>
    <w:p w:rsidR="007E163C" w:rsidRDefault="007E163C">
      <w:pPr>
        <w:spacing w:before="240"/>
        <w:jc w:val="center"/>
      </w:pPr>
    </w:p>
    <w:p w:rsidR="007E163C" w:rsidRDefault="007E163C">
      <w:pPr>
        <w:spacing w:before="240"/>
        <w:jc w:val="center"/>
      </w:pPr>
    </w:p>
    <w:p w:rsidR="007E163C" w:rsidRDefault="007E163C">
      <w:pPr>
        <w:spacing w:before="240"/>
        <w:jc w:val="center"/>
      </w:pPr>
    </w:p>
    <w:p w:rsidR="007E163C" w:rsidRDefault="008D3CD9">
      <w:pPr>
        <w:spacing w:before="240"/>
        <w:jc w:val="center"/>
        <w:rPr>
          <w:rFonts w:ascii="方正黑体简体" w:eastAsia="方正黑体简体"/>
          <w:sz w:val="36"/>
        </w:rPr>
      </w:pPr>
      <w:r>
        <w:rPr>
          <w:rFonts w:ascii="方正黑体简体" w:eastAsia="方正黑体简体"/>
          <w:sz w:val="36"/>
        </w:rPr>
        <w:t>南银理财增瑞财富牛（最低持有189天）2号公募人民币理财产品</w:t>
      </w:r>
    </w:p>
    <w:p w:rsidR="007E163C" w:rsidRDefault="008D3CD9">
      <w:pPr>
        <w:spacing w:before="240"/>
        <w:jc w:val="center"/>
        <w:rPr>
          <w:rFonts w:ascii="方正黑体简体" w:eastAsia="方正黑体简体" w:hAnsi="黑体"/>
          <w:sz w:val="36"/>
        </w:rPr>
      </w:pPr>
      <w:r>
        <w:rPr>
          <w:rFonts w:ascii="方正黑体简体" w:eastAsia="方正黑体简体" w:hAnsi="黑体"/>
          <w:sz w:val="36"/>
        </w:rPr>
        <w:t>2025年</w:t>
      </w:r>
      <w:r>
        <w:rPr>
          <w:rFonts w:ascii="方正黑体简体" w:eastAsia="方正黑体简体" w:hAnsi="Calibri" w:hint="eastAsia"/>
          <w:sz w:val="36"/>
        </w:rPr>
        <w:t>年度</w:t>
      </w:r>
      <w:r>
        <w:rPr>
          <w:rFonts w:ascii="方正黑体简体" w:eastAsia="方正黑体简体" w:hAnsi="黑体"/>
          <w:sz w:val="36"/>
        </w:rPr>
        <w:t>报告</w:t>
      </w: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7E163C">
      <w:pPr>
        <w:spacing w:before="240"/>
        <w:jc w:val="center"/>
        <w:rPr>
          <w:rFonts w:ascii="黑体" w:eastAsia="黑体" w:hAnsi="黑体"/>
          <w:sz w:val="36"/>
        </w:rPr>
      </w:pPr>
    </w:p>
    <w:p w:rsidR="007E163C" w:rsidRDefault="008D3CD9">
      <w:pPr>
        <w:spacing w:before="240"/>
        <w:jc w:val="center"/>
        <w:rPr>
          <w:rFonts w:ascii="方正仿宋简体" w:eastAsia="方正仿宋简体"/>
          <w:b/>
          <w:sz w:val="24"/>
          <w:szCs w:val="24"/>
        </w:rPr>
      </w:pPr>
      <w:r>
        <w:rPr>
          <w:rFonts w:ascii="方正仿宋简体" w:eastAsia="方正仿宋简体" w:hint="eastAsia"/>
          <w:b/>
          <w:sz w:val="24"/>
          <w:szCs w:val="24"/>
        </w:rPr>
        <w:t>产品管理人:南银理财有限责任公司</w:t>
      </w:r>
    </w:p>
    <w:p w:rsidR="007E163C" w:rsidRDefault="008D3CD9">
      <w:pPr>
        <w:spacing w:before="240"/>
        <w:jc w:val="center"/>
        <w:rPr>
          <w:rFonts w:ascii="方正仿宋简体" w:eastAsia="方正仿宋简体"/>
          <w:b/>
          <w:sz w:val="24"/>
          <w:szCs w:val="24"/>
        </w:rPr>
      </w:pPr>
      <w:r>
        <w:rPr>
          <w:rFonts w:ascii="方正仿宋简体" w:eastAsia="方正仿宋简体" w:hint="eastAsia"/>
          <w:b/>
          <w:sz w:val="24"/>
          <w:szCs w:val="24"/>
        </w:rPr>
        <w:t>产品托管人:南京银行股份有限公司</w:t>
      </w:r>
    </w:p>
    <w:p w:rsidR="007E163C" w:rsidRDefault="008D3CD9">
      <w:pPr>
        <w:spacing w:before="240"/>
        <w:rPr>
          <w:rFonts w:ascii="方正仿宋简体" w:eastAsia="方正仿宋简体"/>
          <w:sz w:val="24"/>
          <w:szCs w:val="24"/>
        </w:rPr>
      </w:pPr>
      <w:r>
        <w:rPr>
          <w:rFonts w:ascii="方正仿宋简体" w:eastAsia="方正仿宋简体" w:hint="eastAsia"/>
          <w:sz w:val="24"/>
          <w:szCs w:val="24"/>
        </w:rPr>
        <w:br w:type="page"/>
      </w:r>
    </w:p>
    <w:p w:rsidR="007E163C" w:rsidRDefault="008D3CD9">
      <w:pPr>
        <w:spacing w:before="240"/>
        <w:jc w:val="center"/>
        <w:rPr>
          <w:rFonts w:ascii="方正仿宋简体" w:eastAsia="方正仿宋简体"/>
          <w:b/>
          <w:sz w:val="24"/>
          <w:szCs w:val="24"/>
        </w:rPr>
      </w:pPr>
      <w:r>
        <w:rPr>
          <w:rFonts w:ascii="方正仿宋简体" w:eastAsia="方正仿宋简体" w:hAnsi="Calibri" w:hint="eastAsia"/>
          <w:b/>
          <w:sz w:val="24"/>
          <w:szCs w:val="24"/>
        </w:rPr>
        <w:lastRenderedPageBreak/>
        <w:t>§1 产品概况</w:t>
      </w:r>
    </w:p>
    <w:p w:rsidR="007E163C" w:rsidRDefault="007E163C">
      <w:pPr>
        <w:spacing w:before="240"/>
        <w:rPr>
          <w:rFonts w:ascii="方正仿宋简体" w:eastAsia="方正仿宋简体" w:hAnsi="宋体" w:cs="宋体"/>
          <w:kern w:val="0"/>
          <w:sz w:val="24"/>
          <w:szCs w:val="24"/>
        </w:rPr>
      </w:pPr>
    </w:p>
    <w:tbl>
      <w:tblPr>
        <w:tblW w:w="919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811"/>
        <w:gridCol w:w="6387"/>
      </w:tblGrid>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产品全称</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南银理财增瑞财富牛（最低持有189天）2号公募人民币理财产品</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产品登记编码</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Z7003225000060（投资者可依据该编码在中国理财网www.chinawealth.com.cn查询理财产品相关信息）</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产品运作方式</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开放式净值型</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产品成立日</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2025年03月20日</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报告期末产品份额总额</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9,001,099,678.72份</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报告期末产品杠杆水平</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sz w:val="24"/>
                <w:szCs w:val="24"/>
              </w:rPr>
              <w:t>100.07%</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合作机构</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中欧基金管理有限公司,中粮信托有限责任公司,中诚信托有限责任公司,兴业基金管理有限公司,华夏基金管理有限公司,华安基金管理有限公司,华泰资产管理有限公司,华鑫证券有限责任公司,国投泰康信托有限公司,国泰基金管理有限公司,富国基金管理有限公司,广发基金管理有限公司,招商基金管理有限公司,鑫沅资产管理有限公司,鹏华基金管理有限公司,易方达基金管理有限公司,南方基金管理股份有限公司,景顺长城基金管理有限公司,泰康资产管理有限责任公司,太平洋资产管理有限责任公司,汇添富基金管理股份有限公司,中国对外经济贸易信托有限公司</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产品管理人</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南银理财有限责任公司</w:t>
            </w:r>
          </w:p>
        </w:tc>
      </w:tr>
      <w:tr w:rsidR="007E163C">
        <w:tc>
          <w:tcPr>
            <w:tcW w:w="2811"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产品托管人</w:t>
            </w:r>
          </w:p>
        </w:tc>
        <w:tc>
          <w:tcPr>
            <w:tcW w:w="6387" w:type="dxa"/>
            <w:vAlign w:val="center"/>
          </w:tcPr>
          <w:p w:rsidR="007E163C" w:rsidRDefault="008D3CD9" w:rsidP="00723532">
            <w:pPr>
              <w:spacing w:before="240" w:afterLines="50" w:line="360" w:lineRule="auto"/>
              <w:rPr>
                <w:rFonts w:ascii="方正仿宋简体" w:eastAsia="方正仿宋简体"/>
                <w:sz w:val="24"/>
                <w:szCs w:val="24"/>
              </w:rPr>
            </w:pPr>
            <w:r>
              <w:rPr>
                <w:rFonts w:ascii="方正仿宋简体" w:eastAsia="方正仿宋简体" w:hint="eastAsia"/>
                <w:sz w:val="24"/>
                <w:szCs w:val="24"/>
              </w:rPr>
              <w:t>南京银行股份有限公司</w:t>
            </w:r>
          </w:p>
        </w:tc>
      </w:tr>
    </w:tbl>
    <w:p w:rsidR="007E163C" w:rsidRDefault="007E163C">
      <w:pPr>
        <w:spacing w:before="240"/>
        <w:rPr>
          <w:rFonts w:ascii="方正仿宋简体" w:eastAsia="方正仿宋简体" w:hAnsi="宋体" w:cs="宋体"/>
          <w:kern w:val="0"/>
          <w:sz w:val="24"/>
          <w:szCs w:val="24"/>
        </w:rPr>
      </w:pPr>
    </w:p>
    <w:p w:rsidR="007E163C" w:rsidRDefault="007E163C">
      <w:pPr>
        <w:spacing w:before="240"/>
        <w:rPr>
          <w:rFonts w:ascii="方正仿宋简体" w:eastAsia="方正仿宋简体" w:hAnsi="Calibri"/>
          <w:sz w:val="24"/>
          <w:szCs w:val="24"/>
        </w:rPr>
      </w:pPr>
    </w:p>
    <w:p w:rsidR="007E163C" w:rsidRDefault="008D3CD9">
      <w:pPr>
        <w:spacing w:before="240"/>
        <w:jc w:val="center"/>
        <w:rPr>
          <w:rFonts w:ascii="方正仿宋简体" w:eastAsia="方正仿宋简体"/>
          <w:b/>
          <w:sz w:val="24"/>
          <w:szCs w:val="24"/>
        </w:rPr>
      </w:pPr>
      <w:r>
        <w:rPr>
          <w:rFonts w:ascii="方正仿宋简体" w:eastAsia="方正仿宋简体" w:hAnsi="Calibri" w:hint="eastAsia"/>
          <w:b/>
          <w:sz w:val="24"/>
          <w:szCs w:val="24"/>
        </w:rPr>
        <w:t>§2  主要财务指标和产品</w:t>
      </w:r>
      <w:r>
        <w:rPr>
          <w:rFonts w:ascii="方正仿宋简体" w:eastAsia="方正仿宋简体" w:hint="eastAsia"/>
          <w:b/>
          <w:sz w:val="24"/>
          <w:szCs w:val="24"/>
        </w:rPr>
        <w:t>业绩比较基准</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2.1 主要财务指标</w:t>
      </w:r>
    </w:p>
    <w:p w:rsidR="007E163C" w:rsidRDefault="008D3CD9">
      <w:pPr>
        <w:spacing w:before="240"/>
        <w:jc w:val="right"/>
        <w:rPr>
          <w:rFonts w:ascii="方正仿宋简体" w:eastAsia="方正仿宋简体" w:cs="宋体"/>
          <w:kern w:val="0"/>
          <w:sz w:val="24"/>
          <w:szCs w:val="24"/>
        </w:rPr>
      </w:pPr>
      <w:r>
        <w:rPr>
          <w:rFonts w:ascii="方正仿宋简体" w:eastAsia="方正仿宋简体" w:cs="宋体" w:hint="eastAsia"/>
          <w:kern w:val="0"/>
          <w:sz w:val="24"/>
          <w:szCs w:val="24"/>
        </w:rPr>
        <w:t>单位：人民币元</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122"/>
        <w:gridCol w:w="2551"/>
        <w:gridCol w:w="1418"/>
        <w:gridCol w:w="1275"/>
        <w:gridCol w:w="1956"/>
      </w:tblGrid>
      <w:tr w:rsidR="007E163C">
        <w:tc>
          <w:tcPr>
            <w:tcW w:w="2122" w:type="dxa"/>
            <w:vMerge w:val="restart"/>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00" w:type="dxa"/>
            <w:gridSpan w:val="4"/>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报告期（2025年03月20日 - 2025年12月31日）</w:t>
            </w:r>
          </w:p>
        </w:tc>
      </w:tr>
      <w:tr w:rsidR="007E163C">
        <w:tc>
          <w:tcPr>
            <w:tcW w:w="2122" w:type="dxa"/>
            <w:vMerge/>
            <w:vAlign w:val="center"/>
          </w:tcPr>
          <w:p w:rsidR="007E163C" w:rsidRDefault="007E163C" w:rsidP="00723532">
            <w:pPr>
              <w:spacing w:before="240" w:afterLines="50" w:line="360" w:lineRule="auto"/>
              <w:jc w:val="center"/>
              <w:rPr>
                <w:rFonts w:ascii="方正仿宋简体" w:eastAsia="方正仿宋简体"/>
                <w:sz w:val="24"/>
                <w:szCs w:val="24"/>
              </w:rPr>
            </w:pPr>
          </w:p>
        </w:tc>
        <w:tc>
          <w:tcPr>
            <w:tcW w:w="2551"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1.期末产品最后一个市场交易日资产净值</w:t>
            </w:r>
          </w:p>
        </w:tc>
        <w:tc>
          <w:tcPr>
            <w:tcW w:w="1418"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2.期末产品最后一个市场交易日份额净值</w:t>
            </w:r>
          </w:p>
        </w:tc>
        <w:tc>
          <w:tcPr>
            <w:tcW w:w="1275"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3.期末产品最后一个市场交易日份额累计净值</w:t>
            </w:r>
          </w:p>
        </w:tc>
        <w:tc>
          <w:tcPr>
            <w:tcW w:w="1956"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4.其它费用</w:t>
            </w:r>
          </w:p>
        </w:tc>
      </w:tr>
      <w:tr>
        <w:trPr xsi:nil="true"/>
        <w:tc>
          <w:tcPr>
            <w:tcW w:w="2122"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Z70021</w:t>
            </w:r>
          </w:p>
        </w:tc>
        <w:tc>
          <w:tcPr>
            <w:tcW w:w="2551"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9,151,998,538.96</w:t>
            </w:r>
          </w:p>
        </w:tc>
        <w:tc>
          <w:tcPr>
            <w:tcW w:w="1418"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1.020216</w:t>
            </w:r>
          </w:p>
        </w:tc>
        <w:tc>
          <w:tcPr>
            <w:tcW w:w="1275"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1.020216</w:t>
            </w:r>
          </w:p>
        </w:tc>
        <w:tc>
          <w:tcPr>
            <w:tcW w:w="1956" w:type="dxa"/>
            <w:vMerge w:val="restart"/>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148,295.37</w:t>
            </w:r>
          </w:p>
        </w:tc>
      </w:tr>
      <w:tr>
        <w:trPr xsi:nil="true"/>
        <w:tc>
          <w:tcPr>
            <w:tcW w:w="2122"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Z70023</w:t>
            </w:r>
          </w:p>
        </w:tc>
        <w:tc>
          <w:tcPr>
            <w:tcW w:w="2551"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31,090,653.06</w:t>
            </w:r>
          </w:p>
        </w:tc>
        <w:tc>
          <w:tcPr>
            <w:tcW w:w="1418"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1.020907</w:t>
            </w:r>
          </w:p>
        </w:tc>
        <w:tc>
          <w:tcPr>
            <w:tcW w:w="1275"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1.020907</w:t>
            </w:r>
          </w:p>
        </w:tc>
        <w:tc>
          <w:tcPr>
            <w:tcW w:w="1956" w:type="dxa"/>
            <w:vMerge w:val="continue"/>
            <w:vAlign w:val="center"/>
            <w:vAlign w:val="center"/>
          </w:tcPr>
          <w:p>
            <w:pPr>
              <w:spacing w:before="240" w:afterLines="50" w:line="360" w:lineRule="auto"/>
              <w:jc w:val="center"/>
              <w:textAlignment w:val="center"/>
              <w:rPr>
                <w:rFonts w:ascii="方正仿宋简体" w:eastAsia="方正仿宋简体"/>
                <w:sz w:val="24"/>
                <w:szCs w:val="24"/>
              </w:rPr>
            </w:pPr>
          </w:p>
        </w:tc>
      </w:tr>
    </w:tbl>
    <w:p w:rsidR="007E163C" w:rsidRDefault="007E163C">
      <w:pPr>
        <w:spacing w:before="240"/>
        <w:jc w:val="right"/>
        <w:rPr>
          <w:rFonts w:ascii="方正仿宋简体" w:eastAsia="方正仿宋简体" w:cs="宋体"/>
          <w:kern w:val="0"/>
          <w:sz w:val="24"/>
          <w:szCs w:val="24"/>
        </w:rPr>
      </w:pPr>
    </w:p>
    <w:p w:rsidR="007E163C" w:rsidRDefault="008D3CD9">
      <w:pPr>
        <w:spacing w:before="240"/>
        <w:rPr>
          <w:rFonts w:ascii="方正仿宋简体" w:eastAsia="方正仿宋简体"/>
          <w:sz w:val="24"/>
          <w:szCs w:val="24"/>
        </w:rPr>
      </w:pPr>
      <w:r>
        <w:rPr>
          <w:rFonts w:ascii="方正仿宋简体" w:eastAsia="方正仿宋简体" w:hint="eastAsia"/>
          <w:sz w:val="24"/>
          <w:szCs w:val="24"/>
        </w:rPr>
        <w:t>注：产品净值可能存在未扣除管理人及投资合作机构业绩报酬、赎回费等费用（如有）的情况，实际收益以兑付为准。</w:t>
      </w:r>
    </w:p>
    <w:p w:rsidR="007E163C" w:rsidRDefault="007E163C">
      <w:pPr>
        <w:spacing w:before="240"/>
        <w:rPr>
          <w:rFonts w:ascii="方正仿宋简体" w:eastAsia="方正仿宋简体" w:hAnsi="宋体" w:cs="宋体"/>
          <w:kern w:val="0"/>
          <w:sz w:val="24"/>
          <w:szCs w:val="24"/>
        </w:rPr>
      </w:pP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2.2 产品业绩比较基准</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2.2.1 本报告期产品业绩比较基准</w:t>
      </w:r>
    </w:p>
    <w:tbl>
      <w:tblPr>
        <w:tblW w:w="924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3856"/>
        <w:gridCol w:w="2694"/>
        <w:gridCol w:w="2693"/>
      </w:tblGrid>
      <w:tr w:rsidR="007E163C">
        <w:tc>
          <w:tcPr>
            <w:tcW w:w="3856"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阶段</w:t>
            </w:r>
          </w:p>
        </w:tc>
        <w:tc>
          <w:tcPr>
            <w:tcW w:w="2694"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内部销售代码</w:t>
            </w:r>
          </w:p>
        </w:tc>
        <w:tc>
          <w:tcPr>
            <w:tcW w:w="2693" w:type="dxa"/>
            <w:vAlign w:val="center"/>
          </w:tcPr>
          <w:p w:rsidR="007E163C" w:rsidRDefault="008D3CD9" w:rsidP="00723532">
            <w:pPr>
              <w:spacing w:before="240" w:afterLines="50" w:line="360" w:lineRule="auto"/>
              <w:jc w:val="center"/>
              <w:rPr>
                <w:rFonts w:ascii="方正仿宋简体" w:eastAsia="方正仿宋简体"/>
                <w:sz w:val="24"/>
                <w:szCs w:val="24"/>
              </w:rPr>
            </w:pPr>
            <w:r>
              <w:rPr>
                <w:rFonts w:ascii="方正仿宋简体" w:eastAsia="方正仿宋简体" w:hint="eastAsia"/>
                <w:sz w:val="24"/>
                <w:szCs w:val="24"/>
              </w:rPr>
              <w:t>业绩比较基准</w:t>
            </w:r>
          </w:p>
        </w:tc>
      </w:tr>
      <w:tr>
        <w:trPr xsi:nil="true"/>
        <w:tc>
          <w:tcPr>
            <w:tcW w:w="3856"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2025年06月06日 - 2025年12月31日</w:t>
            </w:r>
          </w:p>
        </w:tc>
        <w:tc>
          <w:tcPr>
            <w:tcW w:w="2694"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Z70021</w:t>
            </w:r>
          </w:p>
        </w:tc>
        <w:tc>
          <w:tcPr>
            <w:tcW w:w="2693"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-0.55%</w:t>
            </w:r>
          </w:p>
        </w:tc>
      </w:tr>
      <w:tr>
        <w:trPr xsi:nil="true"/>
        <w:tc>
          <w:tcPr>
            <w:tcW w:w="3856"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2025年08月21日 - 2025年12月31日</w:t>
            </w:r>
          </w:p>
        </w:tc>
        <w:tc>
          <w:tcPr>
            <w:tcW w:w="2694"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Z70023</w:t>
            </w:r>
          </w:p>
        </w:tc>
        <w:tc>
          <w:tcPr>
            <w:tcW w:w="2693" w:type="dxa"/>
            <w:vAlign w:val="center"/>
            <w:vAlign w:val="center"/>
          </w:tcPr>
          <w:p>
            <w:pPr>
              <w:spacing w:before="240" w:afterLines="5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-0.18%</w:t>
            </w:r>
          </w:p>
        </w:tc>
      </w:tr>
    </w:tbl>
    <w:p w:rsidR="007E163C" w:rsidRDefault="007E163C">
      <w:pPr>
        <w:spacing w:before="240"/>
        <w:rPr>
          <w:rFonts w:ascii="方正仿宋简体" w:eastAsia="方正仿宋简体"/>
          <w:sz w:val="24"/>
          <w:szCs w:val="24"/>
        </w:rPr>
      </w:pPr>
    </w:p>
    <w:p w:rsidR="007E163C" w:rsidRDefault="007E163C">
      <w:pPr>
        <w:spacing w:before="240"/>
        <w:rPr>
          <w:rFonts w:ascii="方正仿宋简体" w:eastAsia="方正仿宋简体"/>
          <w:sz w:val="24"/>
          <w:szCs w:val="24"/>
        </w:rPr>
      </w:pPr>
    </w:p>
    <w:p w:rsidR="007E163C" w:rsidRDefault="007E163C">
      <w:pPr>
        <w:spacing w:before="240"/>
        <w:rPr>
          <w:rFonts w:ascii="方正仿宋简体" w:eastAsia="方正仿宋简体" w:hAnsi="宋体" w:cs="宋体"/>
          <w:kern w:val="0"/>
          <w:sz w:val="24"/>
          <w:szCs w:val="24"/>
        </w:rPr>
      </w:pPr>
    </w:p>
    <w:p w:rsidR="007E163C" w:rsidRDefault="008D3CD9">
      <w:pPr>
        <w:spacing w:before="240"/>
        <w:jc w:val="center"/>
        <w:rPr>
          <w:rFonts w:ascii="方正仿宋简体" w:eastAsia="方正仿宋简体"/>
          <w:b/>
          <w:sz w:val="24"/>
          <w:szCs w:val="24"/>
        </w:rPr>
      </w:pPr>
      <w:r>
        <w:rPr>
          <w:rFonts w:ascii="方正仿宋简体" w:eastAsia="方正仿宋简体" w:hAnsi="Calibri" w:hint="eastAsia"/>
          <w:b/>
          <w:sz w:val="24"/>
          <w:szCs w:val="24"/>
        </w:rPr>
        <w:t>§3  管理人报告</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3.1 报告期内产品的投资策略和运作分析</w:t>
      </w:r>
    </w:p>
    <w:p w:rsidR="007E163C" w:rsidRDefault="008D3CD9">
      <w:pPr>
        <w:spacing w:before="240"/>
        <w:rPr>
          <w:rFonts w:ascii="方正仿宋简体" w:eastAsia="方正仿宋简体"/>
          <w:sz w:val="24"/>
          <w:szCs w:val="24"/>
        </w:rPr>
      </w:pPr>
      <w:r>
        <w:rPr>
          <w:rFonts w:ascii="方正仿宋简体" w:eastAsia="方正仿宋简体" w:hint="eastAsia"/>
          <w:sz w:val="24"/>
          <w:szCs w:val="24"/>
        </w:rPr>
        <w:t>  债券方面，四季度债市利空因素边际缓解，基金销售费率新规影响下机构赎回边际放缓，央行重启国债买卖，机构博弈利差压缩收益，信用债配置情绪整体有所修复，年末万科债券展期，重要会议释放货币宽松信号，央行呵护跨年资金面，但超长债供给时有扰动，信用债收益率窄幅波动，利差主动走阔后维持震荡。展望一季度，当前市场的交易叙事仍然是有利于风险资产而不利于债券。美国经济走强、降息预期后移、中美元首会晤，全球风险偏好均有抬升，市场对“春季躁动”行情的预期极其一致。考虑到1月下旬会迎来一波地方债的供给高峰，保险分红险占比提升导致配置力量缺位，市场对久期的偏好预计仍维持在较低的水平。判断市场压力的充分释放可能要看到供给冲击交易结束和相关利差的充分走阔。操作上，抓住调整窗口积极进行票息布局，在权益市场波动快速放大后关注长久期品种交易机会，资本利得交易注重交易纪律，快进快出、及时止盈。</w:t>
        <w:br w:type="textWrapping" w:clear="all"/>
      </w:r>
      <w:r>
        <w:rPr>
          <w:rFonts w:ascii="方正仿宋简体" w:eastAsia="方正仿宋简体" w:hint="eastAsia"/>
          <w:sz w:val="24"/>
          <w:szCs w:val="24"/>
        </w:rPr>
        <w:t>  权益方面，在三季度一轮低波、快速的普涨后，市场经历了季度维度的震荡调整，板块分化突出，泛科技产业链超额显著，红利明显承压。从大类资产配置和全球资金流动的角度看中国资产依然具备较高性价比，但历史估值看，除纯内需板块，中国资产整体已修复至中枢以上，部分板块估值处于偏贵区间，结构选择需更加谨慎。展望一季度，积极看多权益市场，维持中枢以上仓位，判断交易逻辑仍聚焦安全主题，在自由现金流资产的底仓配置基础上，积极增配资源品、资本品等景气方向。</w:t>
        <w:br w:type="textWrapping" w:clear="all"/>
      </w:r>
      <w:r>
        <w:rPr>
          <w:rFonts w:ascii="方正仿宋简体" w:eastAsia="方正仿宋简体" w:hint="eastAsia"/>
          <w:sz w:val="24"/>
          <w:szCs w:val="24"/>
        </w:rPr>
        <w:t>  本产品为长持有期固收+产品，在运作期内操作上主配置2年信用债，积极采用杠杆获取收益增厚，同时配置二级债基、权益ETF等含权资产。后续我们将继续研判市场，将风险预算在不同大类资产里进行合理分配，在波动可控的范围内为客户提供收益弹性。</w:t>
      </w:r>
      <w:r>
        <w:rPr>
          <w:rFonts w:ascii="方正仿宋简体" w:eastAsia="方正仿宋简体" w:hint="eastAsia"/>
          <w:sz w:val="24"/>
          <w:szCs w:val="24"/>
        </w:rPr>
        <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3.2 报告期内产品的流动性风险分析</w:t>
      </w:r>
    </w:p>
    <w:p w:rsidR="007E163C" w:rsidRDefault="008D3CD9">
      <w:pPr>
        <w:spacing w:before="240"/>
        <w:rPr>
          <w:rFonts w:ascii="方正仿宋简体" w:eastAsia="方正仿宋简体"/>
          <w:sz w:val="24"/>
          <w:szCs w:val="24"/>
        </w:rPr>
      </w:pPr>
      <w:r>
        <w:rPr>
          <w:rFonts w:ascii="方正仿宋简体" w:eastAsia="方正仿宋简体" w:hint="eastAsia"/>
          <w:sz w:val="24"/>
          <w:szCs w:val="24"/>
        </w:rPr>
        <w:t>  本产品配置较高比例的存款和政策性金融债等高流动性资产,整体流动性风险可控。</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3.3 报告期内产品的业绩表现</w:t>
      </w:r>
    </w:p>
    <w:p w:rsidR="007E163C" w:rsidRDefault="008D3CD9">
      <w:pPr>
        <w:spacing w:before="240"/>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截至报告期末,本产品Z70021份额净值为1.020216元，Z70023份额净值为1.020907元。</w:t>
      </w:r>
    </w:p>
    <w:p w:rsidR="007E163C" w:rsidRDefault="007E163C">
      <w:pPr>
        <w:spacing w:before="240"/>
        <w:rPr>
          <w:rFonts w:ascii="方正仿宋简体" w:eastAsia="方正仿宋简体" w:hAnsi="宋体" w:cs="宋体"/>
          <w:kern w:val="0"/>
          <w:sz w:val="24"/>
          <w:szCs w:val="24"/>
        </w:rPr>
      </w:pPr>
    </w:p>
    <w:p w:rsidR="007E163C" w:rsidRDefault="008D3CD9">
      <w:pPr>
        <w:spacing w:before="240"/>
        <w:jc w:val="center"/>
        <w:rPr>
          <w:rFonts w:ascii="方正仿宋简体" w:eastAsia="方正仿宋简体" w:hAnsi="Calibri"/>
          <w:b/>
          <w:sz w:val="24"/>
          <w:szCs w:val="24"/>
        </w:rPr>
      </w:pPr>
      <w:r>
        <w:rPr>
          <w:rFonts w:ascii="方正仿宋简体" w:eastAsia="方正仿宋简体" w:hAnsi="Calibri" w:hint="eastAsia"/>
          <w:b/>
          <w:sz w:val="24"/>
          <w:szCs w:val="24"/>
        </w:rPr>
        <w:t>§4  托管人报告</w:t>
      </w:r>
    </w:p>
    <w:p w:rsidR="007E163C" w:rsidRDefault="007E163C">
      <w:pPr>
        <w:spacing w:before="240"/>
        <w:rPr>
          <w:rFonts w:ascii="方正仿宋简体" w:eastAsia="方正仿宋简体" w:hAnsi="Calibri"/>
          <w:sz w:val="24"/>
          <w:szCs w:val="24"/>
        </w:rPr>
      </w:pP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4.1报告期内托管人遵规守信情况声明</w:t>
      </w:r>
    </w:p>
    <w:p w:rsidR="007E163C" w:rsidRDefault="008D3CD9">
      <w:pPr>
        <w:spacing w:before="240"/>
        <w:rPr>
          <w:rFonts w:ascii="方正仿宋简体" w:eastAsia="方正仿宋简体"/>
          <w:sz w:val="24"/>
          <w:szCs w:val="24"/>
        </w:rPr>
      </w:pPr>
      <w:r>
        <w:rPr>
          <w:rFonts w:ascii="方正仿宋简体" w:eastAsia="方正仿宋简体" w:hint="eastAsia"/>
          <w:sz w:val="24"/>
          <w:szCs w:val="24"/>
        </w:rPr>
        <w:t>  在托管本产品的过程中，本产品托管人南京银行股份有限公司严格遵守《商业银行理财子公司管理办法》相关法律法规的规定以及产品说明书的约定，对本产品管理人在报告期内产品的投资运作进行了认真、独立的会计核算和必要的投资监督，认真履行了托管人的义务，没有从事任何损害产品份额持有人利益的行为。</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4.2 托管人对报告期内投资运作遵规守信、净值计算、利润分配等情况的说明</w:t>
      </w:r>
    </w:p>
    <w:p w:rsidR="007E163C" w:rsidRDefault="008D3CD9">
      <w:pPr>
        <w:spacing w:before="240"/>
        <w:rPr>
          <w:rFonts w:ascii="方正仿宋简体" w:eastAsia="方正仿宋简体"/>
          <w:sz w:val="24"/>
          <w:szCs w:val="24"/>
        </w:rPr>
      </w:pPr>
      <w:r>
        <w:rPr>
          <w:rFonts w:ascii="方正仿宋简体" w:eastAsia="方正仿宋简体"/>
          <w:sz w:val="24"/>
          <w:szCs w:val="24"/>
        </w:rPr>
        <w:t>  本托管人认为,管理人在本产品的投资运作、产品资产净值的计算、产品份额申购赎回价格的计算、产品费用开支及利润分配等问题上不存在损害产品份额持有人利益的行为；在报告期内，严格遵守了有关法律法规，在各重要方面的运作严格按照托管协议和理财产品说明书的规定进行。</w:t>
      </w: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4.3 托管人对本报告期内报告中财务信息等内容的真实、准确和完整发表意见</w:t>
      </w:r>
    </w:p>
    <w:p w:rsidR="007E163C" w:rsidRDefault="008D3CD9">
      <w:pPr>
        <w:spacing w:before="240"/>
        <w:rPr>
          <w:rFonts w:ascii="方正仿宋简体" w:eastAsia="方正仿宋简体"/>
          <w:sz w:val="24"/>
          <w:szCs w:val="24"/>
        </w:rPr>
      </w:pPr>
      <w:r>
        <w:rPr>
          <w:rFonts w:ascii="方正仿宋简体" w:eastAsia="方正仿宋简体"/>
          <w:sz w:val="24"/>
          <w:szCs w:val="24"/>
        </w:rPr>
        <w:t>  本托管人认为，管理人的信息披露事务符合《商业银行理财子公司管理办法》及其他相关法律法规的规定，产品管理人所编制和披露的本产品报告中的财务指标、净值表现等信息真实、准确、完整，未发现有损害产品持有人利益的行为。</w:t>
      </w:r>
    </w:p>
    <w:p w:rsidR="007E163C" w:rsidRDefault="008D3CD9">
      <w:pPr>
        <w:spacing w:before="240"/>
        <w:jc w:val="center"/>
        <w:rPr>
          <w:rFonts w:ascii="方正仿宋简体" w:eastAsia="方正仿宋简体"/>
          <w:b/>
          <w:sz w:val="24"/>
          <w:szCs w:val="24"/>
        </w:rPr>
      </w:pPr>
      <w:r>
        <w:rPr>
          <w:rFonts w:ascii="方正仿宋简体" w:eastAsia="方正仿宋简体" w:hAnsi="Calibri" w:hint="eastAsia"/>
          <w:b/>
          <w:sz w:val="24"/>
          <w:szCs w:val="24"/>
        </w:rPr>
        <w:t>§5  投资组合报告</w:t>
      </w:r>
    </w:p>
    <w:p w:rsidR="007E163C" w:rsidRDefault="007E163C">
      <w:pPr>
        <w:spacing w:before="240"/>
        <w:rPr>
          <w:rFonts w:ascii="方正仿宋简体" w:eastAsia="方正仿宋简体" w:hAnsi="宋体" w:cs="宋体"/>
          <w:kern w:val="0"/>
          <w:sz w:val="24"/>
          <w:szCs w:val="24"/>
        </w:rPr>
      </w:pP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5.1 报告期末产品资产组合情况</w:t>
      </w:r>
    </w:p>
    <w:tbl>
      <w:tblPr>
        <w:tblW w:w="881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38"/>
        <w:gridCol w:w="1843"/>
        <w:gridCol w:w="2976"/>
        <w:gridCol w:w="3261"/>
      </w:tblGrid>
      <w:tr w:rsidR="007E163C">
        <w:tc>
          <w:tcPr>
            <w:tcW w:w="738"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lastRenderedPageBreak/>
              <w:t>序号</w:t>
            </w:r>
          </w:p>
        </w:tc>
        <w:tc>
          <w:tcPr>
            <w:tcW w:w="1843"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资产类别</w:t>
            </w:r>
          </w:p>
        </w:tc>
        <w:tc>
          <w:tcPr>
            <w:tcW w:w="29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穿透前占总资产比例</w:t>
            </w:r>
          </w:p>
        </w:tc>
        <w:tc>
          <w:tcPr>
            <w:tcW w:w="326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穿透后占总资产比例</w:t>
            </w:r>
          </w:p>
        </w:tc>
      </w:tr>
      <w:tr w:rsidR="007E163C">
        <w:tc>
          <w:tcPr>
            <w:tcW w:w="738"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w:t>
            </w:r>
          </w:p>
        </w:tc>
        <w:tc>
          <w:tcPr>
            <w:tcW w:w="1843"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固定收益类</w:t>
            </w:r>
          </w:p>
        </w:tc>
        <w:tc>
          <w:tcPr>
            <w:tcW w:w="29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95.20</w:t>
            </w:r>
            <w:r>
              <w:rPr>
                <w:rFonts w:ascii="方正仿宋简体" w:eastAsia="方正仿宋简体" w:hAnsiTheme="minorEastAsia"/>
                <w:sz w:val="24"/>
                <w:szCs w:val="24"/>
              </w:rPr>
              <w:t>%</w:t>
            </w:r>
          </w:p>
        </w:tc>
        <w:tc>
          <w:tcPr>
            <w:tcW w:w="326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89.98</w:t>
            </w:r>
            <w:r>
              <w:rPr>
                <w:rFonts w:ascii="方正仿宋简体" w:eastAsia="方正仿宋简体" w:hAnsiTheme="minorEastAsia"/>
                <w:sz w:val="24"/>
                <w:szCs w:val="24"/>
              </w:rPr>
              <w:t>%</w:t>
            </w:r>
          </w:p>
        </w:tc>
      </w:tr>
      <w:tr w:rsidR="007E163C">
        <w:tc>
          <w:tcPr>
            <w:tcW w:w="738"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2</w:t>
            </w:r>
          </w:p>
        </w:tc>
        <w:tc>
          <w:tcPr>
            <w:tcW w:w="1843"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权益类</w:t>
            </w:r>
          </w:p>
        </w:tc>
        <w:tc>
          <w:tcPr>
            <w:tcW w:w="29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4.80</w:t>
            </w:r>
            <w:r>
              <w:rPr>
                <w:rFonts w:ascii="方正仿宋简体" w:eastAsia="方正仿宋简体" w:hAnsiTheme="minorEastAsia"/>
                <w:sz w:val="24"/>
                <w:szCs w:val="24"/>
              </w:rPr>
              <w:t>%</w:t>
            </w:r>
          </w:p>
        </w:tc>
        <w:tc>
          <w:tcPr>
            <w:tcW w:w="326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10.01</w:t>
            </w:r>
            <w:r>
              <w:rPr>
                <w:rFonts w:ascii="方正仿宋简体" w:eastAsia="方正仿宋简体" w:hAnsiTheme="minorEastAsia"/>
                <w:sz w:val="24"/>
                <w:szCs w:val="24"/>
              </w:rPr>
              <w:t>%</w:t>
            </w:r>
          </w:p>
        </w:tc>
      </w:tr>
      <w:tr w:rsidR="007E163C">
        <w:tc>
          <w:tcPr>
            <w:tcW w:w="738"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3</w:t>
            </w:r>
          </w:p>
        </w:tc>
        <w:tc>
          <w:tcPr>
            <w:tcW w:w="1843"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商品及金融衍生品类</w:t>
            </w:r>
          </w:p>
        </w:tc>
        <w:tc>
          <w:tcPr>
            <w:tcW w:w="29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6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r>
      <w:tr w:rsidR="007E163C">
        <w:tc>
          <w:tcPr>
            <w:tcW w:w="738"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4</w:t>
            </w:r>
          </w:p>
        </w:tc>
        <w:tc>
          <w:tcPr>
            <w:tcW w:w="1843" w:type="dxa"/>
            <w:vAlign w:val="bottom"/>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混合类</w:t>
            </w:r>
          </w:p>
        </w:tc>
        <w:tc>
          <w:tcPr>
            <w:tcW w:w="29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0.00</w:t>
            </w:r>
            <w:r>
              <w:rPr>
                <w:rFonts w:ascii="方正仿宋简体" w:eastAsia="方正仿宋简体" w:hAnsiTheme="minorEastAsia"/>
                <w:sz w:val="24"/>
                <w:szCs w:val="24"/>
              </w:rPr>
              <w:t>%</w:t>
            </w:r>
          </w:p>
        </w:tc>
        <w:tc>
          <w:tcPr>
            <w:tcW w:w="326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0.01</w:t>
            </w:r>
            <w:r>
              <w:rPr>
                <w:rFonts w:ascii="方正仿宋简体" w:eastAsia="方正仿宋简体" w:hAnsiTheme="minorEastAsia"/>
                <w:sz w:val="24"/>
                <w:szCs w:val="24"/>
              </w:rPr>
              <w:t>%</w:t>
            </w:r>
          </w:p>
        </w:tc>
      </w:tr>
      <w:tr w:rsidR="007E163C">
        <w:tc>
          <w:tcPr>
            <w:tcW w:w="738" w:type="dxa"/>
            <w:vAlign w:val="bottom"/>
          </w:tcPr>
          <w:p w:rsidR="007E163C" w:rsidRDefault="008D3CD9">
            <w:pPr>
              <w:spacing w:before="24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5</w:t>
            </w:r>
          </w:p>
        </w:tc>
        <w:tc>
          <w:tcPr>
            <w:tcW w:w="1843" w:type="dxa"/>
            <w:vAlign w:val="center"/>
          </w:tcPr>
          <w:p w:rsidR="007E163C" w:rsidRDefault="008D3CD9">
            <w:pPr>
              <w:spacing w:before="24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合计</w:t>
            </w:r>
          </w:p>
        </w:tc>
        <w:tc>
          <w:tcPr>
            <w:tcW w:w="2976" w:type="dxa"/>
            <w:vAlign w:val="center"/>
          </w:tcPr>
          <w:p w:rsidR="007E163C" w:rsidRDefault="008D3CD9">
            <w:pPr>
              <w:spacing w:before="24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p>
        </w:tc>
        <w:tc>
          <w:tcPr>
            <w:tcW w:w="3261" w:type="dxa"/>
            <w:vAlign w:val="center"/>
          </w:tcPr>
          <w:p w:rsidR="007E163C" w:rsidRDefault="008D3CD9">
            <w:pPr>
              <w:spacing w:before="240"/>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100.00%</w:t>
            </w:r>
          </w:p>
        </w:tc>
      </w:tr>
    </w:tbl>
    <w:p w:rsidR="007E163C" w:rsidRDefault="007E163C">
      <w:pPr>
        <w:spacing w:before="240"/>
        <w:rPr>
          <w:rFonts w:ascii="方正仿宋简体" w:eastAsia="方正仿宋简体" w:cs="宋体"/>
          <w:kern w:val="0"/>
          <w:sz w:val="24"/>
          <w:szCs w:val="24"/>
        </w:rPr>
      </w:pPr>
    </w:p>
    <w:p w:rsidR="007E163C" w:rsidRDefault="008D3CD9">
      <w:pPr>
        <w:spacing w:before="240"/>
        <w:rPr>
          <w:rFonts w:ascii="方正仿宋简体" w:eastAsia="方正仿宋简体"/>
          <w:b/>
          <w:sz w:val="24"/>
          <w:szCs w:val="24"/>
        </w:rPr>
      </w:pPr>
      <w:r>
        <w:rPr>
          <w:rFonts w:ascii="方正仿宋简体" w:eastAsia="方正仿宋简体" w:hint="eastAsia"/>
          <w:b/>
          <w:sz w:val="24"/>
          <w:szCs w:val="24"/>
        </w:rPr>
        <w:t>5.2 报告期末按公允价值占</w:t>
      </w:r>
      <w:r>
        <w:rPr>
          <w:rFonts w:ascii="方正仿宋简体" w:eastAsia="方正仿宋简体"/>
          <w:b/>
          <w:sz w:val="24"/>
          <w:szCs w:val="24"/>
        </w:rPr>
        <w:t>产品</w:t>
      </w:r>
      <w:r>
        <w:rPr>
          <w:rFonts w:ascii="方正仿宋简体" w:eastAsia="方正仿宋简体" w:hint="eastAsia"/>
          <w:b/>
          <w:sz w:val="24"/>
          <w:szCs w:val="24"/>
        </w:rPr>
        <w:t>资产净值比例大小排序的前十名资产投资明细</w:t>
      </w:r>
    </w:p>
    <w:tbl>
      <w:tblPr>
        <w:tblW w:w="88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582"/>
        <w:gridCol w:w="1728"/>
        <w:gridCol w:w="2690"/>
        <w:gridCol w:w="2035"/>
        <w:gridCol w:w="1765"/>
      </w:tblGrid>
      <w:tr w:rsidR="007E163C">
        <w:trPr>
          <w:trHeight w:val="870"/>
        </w:trPr>
        <w:tc>
          <w:tcPr>
            <w:tcW w:w="582"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728"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代码</w:t>
            </w:r>
          </w:p>
        </w:tc>
        <w:tc>
          <w:tcPr>
            <w:tcW w:w="2690"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名称</w:t>
            </w:r>
          </w:p>
        </w:tc>
        <w:tc>
          <w:tcPr>
            <w:tcW w:w="2035"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公允价值(元)</w:t>
            </w:r>
          </w:p>
        </w:tc>
        <w:tc>
          <w:tcPr>
            <w:tcW w:w="1765"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占产品资产净值比例（％）</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ZZGJT202007060001</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鑫沅资产金梅花141号集合资产管理计划</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3,224,155,358.70</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35.11</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XJCKX202312190022</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浦发银行南京分行活期存款</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811,252,749.01</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8.83</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112509283</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25浦发银行CD283</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295,162,800.00</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3.21</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4</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112509288</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25浦发银行CD288</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196,785,400.00</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2.14</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5</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112511073</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25平安银行CD073</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196,766,600.00</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2.14</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6</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232580001</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25工行二级资本债01BC</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149,607,750.00</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1.63</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7</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ZJQTT202404260001</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景顺长城南景悦享2号集合资产管理计划</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147,344,800.03</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1.60</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8</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ZJQTT202203210001</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招商基金-安鑫1号集合资产管理计划</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129,184,858.41</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1.41</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9</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ZJQTT202304110023</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华泰资产宁泰稳利资产管理产品</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114,429,178.29</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1.25</w:t>
            </w:r>
          </w:p>
        </w:tc>
      </w:tr>
      <w:tr>
        <w:trPr>
          <w:trHeight w:val="300"/>
        </w:trPr>
        <w:tc>
          <w:tcPr>
            <w:tcW w:w="582" w:type="dxa"/>
            <w:shd w:val="clear" w:color="auto" w:fill="auto"/>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10</w:t>
            </w:r>
          </w:p>
        </w:tc>
        <w:tc>
          <w:tcPr>
            <w:tcW w:w="1728" w:type="dxa"/>
            <w:shd w:val="clear" w:color="auto" w:fill="auto"/>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ZJQTT202404250022</w:t>
            </w:r>
          </w:p>
        </w:tc>
        <w:tc>
          <w:tcPr>
            <w:tcW w:w="2690"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中诚信托日日升2号集合资金信托计划</w:t>
            </w:r>
          </w:p>
        </w:tc>
        <w:tc>
          <w:tcPr>
            <w:tcW w:w="203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110,453,039.49</w:t>
            </w:r>
          </w:p>
        </w:tc>
        <w:tc>
          <w:tcPr>
            <w:tcW w:w="1765" w:type="dxa"/>
            <w:shd w:val="clear" w:color="000000" w:fill="FFFFFF"/>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1.20</w:t>
            </w:r>
          </w:p>
        </w:tc>
      </w:tr>
    </w:tbl>
    <w:p w:rsidR="007E163C" w:rsidRDefault="007E163C">
      <w:pPr>
        <w:spacing w:before="240"/>
        <w:rPr>
          <w:rFonts w:ascii="方正仿宋简体" w:eastAsia="方正仿宋简体" w:hAnsi="宋体" w:cs="宋体"/>
          <w:sz w:val="24"/>
          <w:szCs w:val="24"/>
          <w:shd w:val="clear" w:color="auto" w:fill="FFFFFF"/>
        </w:rPr>
      </w:pPr>
    </w:p>
    <w:p w:rsidR="007E163C" w:rsidRDefault="008D3CD9">
      <w:pPr>
        <w:spacing w:before="240"/>
        <w:rPr>
          <w:rFonts w:ascii="方正仿宋简体" w:eastAsia="方正仿宋简体" w:hAnsi="宋体" w:cs="宋体"/>
          <w:b/>
          <w:sz w:val="24"/>
          <w:szCs w:val="24"/>
          <w:shd w:val="clear" w:color="auto" w:fill="FFFFFF"/>
        </w:rPr>
      </w:pPr>
      <w:r>
        <w:rPr>
          <w:rFonts w:ascii="方正仿宋简体" w:eastAsia="方正仿宋简体" w:hAnsi="宋体" w:cs="宋体" w:hint="eastAsia"/>
          <w:b/>
          <w:sz w:val="24"/>
          <w:szCs w:val="24"/>
          <w:shd w:val="clear" w:color="auto" w:fill="FFFFFF"/>
        </w:rPr>
        <w:lastRenderedPageBreak/>
        <w:t>5.3报告期末非标准化债权类资产明细</w:t>
      </w:r>
    </w:p>
    <w:tbl>
      <w:tblPr>
        <w:tblW w:w="893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09"/>
        <w:gridCol w:w="1276"/>
        <w:gridCol w:w="1701"/>
        <w:gridCol w:w="1417"/>
        <w:gridCol w:w="1701"/>
        <w:gridCol w:w="1276"/>
        <w:gridCol w:w="851"/>
      </w:tblGrid>
      <w:tr w:rsidR="007E163C">
        <w:tc>
          <w:tcPr>
            <w:tcW w:w="709"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12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融资客户</w:t>
            </w:r>
          </w:p>
        </w:tc>
        <w:tc>
          <w:tcPr>
            <w:tcW w:w="170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项目名称</w:t>
            </w:r>
          </w:p>
        </w:tc>
        <w:tc>
          <w:tcPr>
            <w:tcW w:w="1417"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剩余融资期限</w:t>
            </w:r>
          </w:p>
        </w:tc>
        <w:tc>
          <w:tcPr>
            <w:tcW w:w="170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到期收益分配</w:t>
            </w:r>
          </w:p>
        </w:tc>
        <w:tc>
          <w:tcPr>
            <w:tcW w:w="127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交易结构</w:t>
            </w:r>
          </w:p>
        </w:tc>
        <w:tc>
          <w:tcPr>
            <w:tcW w:w="85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风险状况</w:t>
            </w:r>
          </w:p>
        </w:tc>
      </w:tr>
      <w:tr>
        <w:trPr xsi:nil="true"/>
        <w:tc>
          <w:tcPr>
            <w:tcW w:w="709"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276"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701"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417"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701"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1276"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c>
          <w:tcPr>
            <w:tcW w:w="851"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w:t>
            </w:r>
          </w:p>
        </w:tc>
      </w:tr>
    </w:tbl>
    <w:p w:rsidR="007E163C" w:rsidRDefault="007E163C">
      <w:pPr>
        <w:spacing w:before="240"/>
        <w:rPr>
          <w:rFonts w:ascii="方正仿宋简体" w:eastAsia="方正仿宋简体" w:hAnsi="宋体" w:cs="宋体"/>
          <w:kern w:val="0"/>
          <w:sz w:val="24"/>
          <w:szCs w:val="24"/>
        </w:rPr>
      </w:pPr>
    </w:p>
    <w:p w:rsidR="007E163C" w:rsidRDefault="008D3CD9">
      <w:pPr>
        <w:spacing w:before="240"/>
        <w:jc w:val="center"/>
        <w:rPr>
          <w:rFonts w:ascii="方正仿宋简体" w:eastAsia="方正仿宋简体"/>
          <w:b/>
          <w:sz w:val="24"/>
          <w:szCs w:val="24"/>
        </w:rPr>
      </w:pPr>
      <w:r>
        <w:rPr>
          <w:rFonts w:ascii="方正仿宋简体" w:eastAsia="方正仿宋简体" w:hint="eastAsia"/>
          <w:b/>
          <w:sz w:val="24"/>
          <w:szCs w:val="24"/>
        </w:rPr>
        <w:t>§6投资账户信息</w:t>
      </w:r>
    </w:p>
    <w:tbl>
      <w:tblPr>
        <w:tblW w:w="913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991"/>
        <w:gridCol w:w="2036"/>
        <w:gridCol w:w="2037"/>
        <w:gridCol w:w="2037"/>
        <w:gridCol w:w="2037"/>
      </w:tblGrid>
      <w:tr w:rsidR="007E163C">
        <w:trPr>
          <w:trHeight w:val="705"/>
        </w:trPr>
        <w:tc>
          <w:tcPr>
            <w:tcW w:w="991"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序号</w:t>
            </w:r>
          </w:p>
        </w:tc>
        <w:tc>
          <w:tcPr>
            <w:tcW w:w="2036"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账户类型</w:t>
            </w:r>
          </w:p>
        </w:tc>
        <w:tc>
          <w:tcPr>
            <w:tcW w:w="2037"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账号</w:t>
            </w:r>
          </w:p>
        </w:tc>
        <w:tc>
          <w:tcPr>
            <w:tcW w:w="2037"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账户名称</w:t>
            </w:r>
          </w:p>
        </w:tc>
        <w:tc>
          <w:tcPr>
            <w:tcW w:w="2037" w:type="dxa"/>
            <w:vAlign w:val="center"/>
          </w:tcPr>
          <w:p w:rsidR="007E163C" w:rsidRDefault="008D3CD9" w:rsidP="00723532">
            <w:pPr>
              <w:spacing w:before="240" w:afterLines="50" w:line="360" w:lineRule="auto"/>
              <w:jc w:val="center"/>
              <w:rPr>
                <w:rFonts w:ascii="方正仿宋简体" w:eastAsia="方正仿宋简体" w:hAnsiTheme="minorEastAsia"/>
                <w:sz w:val="24"/>
                <w:szCs w:val="24"/>
              </w:rPr>
            </w:pPr>
            <w:r>
              <w:rPr>
                <w:rFonts w:ascii="方正仿宋简体" w:eastAsia="方正仿宋简体" w:hAnsiTheme="minorEastAsia" w:hint="eastAsia"/>
                <w:sz w:val="24"/>
                <w:szCs w:val="24"/>
              </w:rPr>
              <w:t>开户单位</w:t>
            </w:r>
          </w:p>
        </w:tc>
      </w:tr>
      <w:tr>
        <w:trPr>
          <w:trHeight w:val="364"/>
        </w:trPr>
        <w:tc>
          <w:tcPr>
            <w:tcW w:w="991"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1</w:t>
            </w:r>
          </w:p>
        </w:tc>
        <w:tc>
          <w:tcPr>
            <w:tcW w:w="2036"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托管账户</w:t>
            </w:r>
          </w:p>
        </w:tc>
        <w:tc>
          <w:tcPr>
            <w:tcW w:w="2037"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0101050000001416</w:t>
            </w:r>
          </w:p>
        </w:tc>
        <w:tc>
          <w:tcPr>
            <w:tcW w:w="2037"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南银理财增瑞财富牛最低持有189天2号</w:t>
            </w:r>
          </w:p>
        </w:tc>
        <w:tc>
          <w:tcPr>
            <w:tcW w:w="2037" w:type="dxa"/>
            <w:vAlign w:val="center"/>
            <w:vAlign w:val="center"/>
          </w:tcPr>
          <w:p>
            <w:pPr>
              <w:spacing w:before="240" w:afterLines="50" w:line="360" w:lineRule="auto"/>
              <w:jc w:val="center"/>
              <w:textAlignment w:val="center"/>
              <w:rPr>
                <w:rFonts w:ascii="方正仿宋简体" w:eastAsia="方正仿宋简体" w:hAnsiTheme="minorEastAsia"/>
                <w:sz w:val="24"/>
                <w:szCs w:val="24"/>
              </w:rPr>
            </w:pPr>
            <w:r>
              <w:rPr>
                <w:rFonts w:ascii="方正仿宋简体" w:hAnsi="方正仿宋简体" w:cs="方正仿宋简体" w:eastAsia="方正仿宋简体"/>
                <w:sz w:val="24"/>
              </w:rPr>
              <w:t>南京银行</w:t>
            </w:r>
          </w:p>
        </w:tc>
      </w:tr>
    </w:tbl>
    <w:p w:rsidR="007E163C" w:rsidRDefault="007E163C">
      <w:pPr>
        <w:spacing w:before="240"/>
        <w:rPr>
          <w:rFonts w:ascii="方正仿宋简体" w:eastAsia="方正仿宋简体"/>
          <w:sz w:val="24"/>
          <w:szCs w:val="24"/>
        </w:rPr>
      </w:pPr>
    </w:p>
    <w:p w:rsidR="007E163C" w:rsidRDefault="008D3CD9">
      <w:pPr>
        <w:spacing w:before="240"/>
        <w:jc w:val="center"/>
        <w:rPr>
          <w:rFonts w:ascii="方正仿宋简体" w:eastAsia="方正仿宋简体"/>
          <w:b/>
          <w:sz w:val="24"/>
          <w:szCs w:val="24"/>
        </w:rPr>
      </w:pPr>
      <w:r>
        <w:rPr>
          <w:rFonts w:ascii="方正仿宋简体" w:eastAsia="方正仿宋简体" w:hint="eastAsia"/>
          <w:b/>
          <w:sz w:val="24"/>
          <w:szCs w:val="24"/>
        </w:rPr>
        <w:t>§7 关联交易情况</w:t>
      </w:r>
    </w:p>
    <w:p w:rsidR="007E163C" w:rsidRDefault="003A6E48">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723532">
        <w:rPr>
          <w:rFonts w:ascii="方正仿宋简体" w:eastAsia="方正仿宋简体" w:hint="eastAsia"/>
          <w:b/>
          <w:sz w:val="24"/>
          <w:szCs w:val="24"/>
        </w:rPr>
        <w:t>.1</w:t>
      </w:r>
      <w:r w:rsidR="008D3CD9">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7E163C">
        <w:trPr>
          <w:trHeight w:val="534"/>
          <w:jc w:val="center"/>
        </w:trPr>
        <w:tc>
          <w:tcPr>
            <w:tcW w:w="877"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资产名称</w:t>
            </w:r>
          </w:p>
        </w:tc>
        <w:tc>
          <w:tcPr>
            <w:tcW w:w="1540"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7E163C">
        <w:trPr>
          <w:trHeight w:val="534"/>
          <w:jc w:val="center"/>
        </w:trPr>
        <w:tc>
          <w:tcPr>
            <w:tcW w:w="877" w:type="dxa"/>
            <w:vMerge/>
            <w:vAlign w:val="center"/>
          </w:tcPr>
          <w:p w:rsidR="007E163C" w:rsidRDefault="007E163C" w:rsidP="00723532">
            <w:pPr>
              <w:spacing w:beforeLines="20" w:afterLines="20"/>
              <w:jc w:val="center"/>
            </w:pPr>
          </w:p>
        </w:tc>
        <w:tc>
          <w:tcPr>
            <w:tcW w:w="1704" w:type="dxa"/>
            <w:vMerge/>
            <w:vAlign w:val="center"/>
          </w:tcPr>
          <w:p w:rsidR="007E163C" w:rsidRDefault="007E163C" w:rsidP="00723532">
            <w:pPr>
              <w:spacing w:beforeLines="20" w:afterLines="20"/>
              <w:jc w:val="center"/>
            </w:pPr>
          </w:p>
        </w:tc>
        <w:tc>
          <w:tcPr>
            <w:tcW w:w="1275" w:type="dxa"/>
            <w:vMerge/>
            <w:vAlign w:val="center"/>
          </w:tcPr>
          <w:p w:rsidR="007E163C" w:rsidRDefault="007E163C" w:rsidP="00723532">
            <w:pPr>
              <w:spacing w:beforeLines="20" w:afterLines="20"/>
              <w:jc w:val="center"/>
            </w:pPr>
          </w:p>
        </w:tc>
        <w:tc>
          <w:tcPr>
            <w:tcW w:w="1540" w:type="dxa"/>
            <w:vMerge/>
            <w:vAlign w:val="center"/>
          </w:tcPr>
          <w:p w:rsidR="007E163C" w:rsidRDefault="007E163C" w:rsidP="00723532">
            <w:pPr>
              <w:spacing w:beforeLines="20" w:afterLines="20"/>
              <w:jc w:val="center"/>
            </w:pP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w:t>
            </w:r>
            <w:r>
              <w:rPr>
                <w:rFonts w:ascii="方正仿宋简体" w:eastAsia="方正仿宋简体" w:hint="eastAsia"/>
                <w:sz w:val="24"/>
                <w:szCs w:val="24"/>
              </w:rPr>
              <w:lastRenderedPageBreak/>
              <w:t>张）</w:t>
            </w: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总金额（单位：</w:t>
            </w:r>
            <w:r>
              <w:rPr>
                <w:rFonts w:ascii="方正仿宋简体" w:eastAsia="方正仿宋简体" w:hint="eastAsia"/>
                <w:sz w:val="24"/>
                <w:szCs w:val="24"/>
              </w:rPr>
              <w:lastRenderedPageBreak/>
              <w:t>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7E163C" w:rsidRDefault="00823928">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405AE9">
        <w:rPr>
          <w:rFonts w:ascii="方正仿宋简体" w:eastAsia="方正仿宋简体" w:hint="eastAsia"/>
          <w:b/>
          <w:sz w:val="24"/>
          <w:szCs w:val="24"/>
        </w:rPr>
        <w:t>.</w:t>
      </w:r>
      <w:r w:rsidR="008D3CD9">
        <w:rPr>
          <w:rFonts w:ascii="方正仿宋简体" w:eastAsia="方正仿宋简体" w:hint="eastAsia"/>
          <w:b/>
          <w:sz w:val="24"/>
          <w:szCs w:val="24"/>
        </w:rPr>
        <w:t>2产品投资于关联方承销的证券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7E163C">
        <w:trPr>
          <w:trHeight w:val="534"/>
          <w:jc w:val="center"/>
        </w:trPr>
        <w:tc>
          <w:tcPr>
            <w:tcW w:w="877"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资产名称</w:t>
            </w:r>
          </w:p>
        </w:tc>
        <w:tc>
          <w:tcPr>
            <w:tcW w:w="1540"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7E163C">
        <w:trPr>
          <w:trHeight w:val="534"/>
          <w:jc w:val="center"/>
        </w:trPr>
        <w:tc>
          <w:tcPr>
            <w:tcW w:w="877" w:type="dxa"/>
            <w:vMerge/>
            <w:vAlign w:val="center"/>
          </w:tcPr>
          <w:p w:rsidR="007E163C" w:rsidRDefault="007E163C" w:rsidP="00723532">
            <w:pPr>
              <w:spacing w:beforeLines="20" w:afterLines="20"/>
              <w:jc w:val="center"/>
            </w:pPr>
          </w:p>
        </w:tc>
        <w:tc>
          <w:tcPr>
            <w:tcW w:w="1704" w:type="dxa"/>
            <w:vMerge/>
            <w:vAlign w:val="center"/>
          </w:tcPr>
          <w:p w:rsidR="007E163C" w:rsidRDefault="007E163C" w:rsidP="00723532">
            <w:pPr>
              <w:spacing w:beforeLines="20" w:afterLines="20"/>
              <w:jc w:val="center"/>
            </w:pPr>
          </w:p>
        </w:tc>
        <w:tc>
          <w:tcPr>
            <w:tcW w:w="1275" w:type="dxa"/>
            <w:vMerge/>
            <w:vAlign w:val="center"/>
          </w:tcPr>
          <w:p w:rsidR="007E163C" w:rsidRDefault="007E163C" w:rsidP="00723532">
            <w:pPr>
              <w:spacing w:beforeLines="20" w:afterLines="20"/>
              <w:jc w:val="center"/>
            </w:pPr>
          </w:p>
        </w:tc>
        <w:tc>
          <w:tcPr>
            <w:tcW w:w="1540" w:type="dxa"/>
            <w:vMerge/>
            <w:vAlign w:val="center"/>
          </w:tcPr>
          <w:p w:rsidR="007E163C" w:rsidRDefault="007E163C" w:rsidP="00723532">
            <w:pPr>
              <w:spacing w:beforeLines="20" w:afterLines="20"/>
              <w:jc w:val="center"/>
            </w:pP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25镇江产发MTN001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102583545</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9911146.16</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25高淳经开MTN002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102583920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50004000.00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25国网租赁SCP011(绿色)</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012582245</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40001895.89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25泰华信PPN001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032501320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10000767.12</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25太湖湾PPN001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032501327</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50007123.29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江苏江南农村商业银行股份有限公司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25太湖国投SCP004</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012582703</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20000947.95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江苏江南农村商业银行股份有限公司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25太湖湾PPN001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032501327</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50007123.29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江苏江南农村商业银行股份有限公司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25六合交通PPN001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032580670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10000657.53</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25牛首山PPN001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032580784</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20001260.27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25银宝集团PPN001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032580600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30002284.93</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25盐城港MTN002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102583625</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30002301.37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25苏高科MTN001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102584652</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20003369.86</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25苏广播SCP001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012582741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30001438.36</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25悦达SCP003</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012582740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30001520.55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25六合交通PPN001</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032580670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10000657.53</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25紫金科技MTN004</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102581723</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40302133.15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25武进绿建MTN003</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102584617</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30001873.97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25高淳建设CP008</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042580491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30001520.55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25盐城国投PPN002</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032580644</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10000876.71</w:t>
            </w:r>
          </w:p>
        </w:tc>
      </w:tr>
    </w:tbl>
    <w:p w:rsidR="007E163C" w:rsidRDefault="004A761B">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C03FE9">
        <w:rPr>
          <w:rFonts w:ascii="方正仿宋简体" w:eastAsia="方正仿宋简体" w:hint="eastAsia"/>
          <w:b/>
          <w:sz w:val="24"/>
          <w:szCs w:val="24"/>
        </w:rPr>
        <w:t>.</w:t>
      </w:r>
      <w:r w:rsidR="008D3CD9">
        <w:rPr>
          <w:rFonts w:ascii="方正仿宋简体" w:eastAsia="方正仿宋简体" w:hint="eastAsia"/>
          <w:b/>
          <w:sz w:val="24"/>
          <w:szCs w:val="24"/>
        </w:rPr>
        <w:t>3产品投资于关联方发行的资产管理产品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7E163C">
        <w:trPr>
          <w:trHeight w:val="534"/>
          <w:jc w:val="center"/>
        </w:trPr>
        <w:tc>
          <w:tcPr>
            <w:tcW w:w="877"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7E163C">
        <w:trPr>
          <w:trHeight w:val="534"/>
          <w:jc w:val="center"/>
        </w:trPr>
        <w:tc>
          <w:tcPr>
            <w:tcW w:w="877" w:type="dxa"/>
            <w:vMerge/>
            <w:vAlign w:val="center"/>
          </w:tcPr>
          <w:p w:rsidR="007E163C" w:rsidRDefault="007E163C" w:rsidP="00723532">
            <w:pPr>
              <w:spacing w:beforeLines="20" w:afterLines="20"/>
              <w:jc w:val="center"/>
            </w:pPr>
          </w:p>
        </w:tc>
        <w:tc>
          <w:tcPr>
            <w:tcW w:w="1704" w:type="dxa"/>
            <w:vMerge/>
            <w:vAlign w:val="center"/>
          </w:tcPr>
          <w:p w:rsidR="007E163C" w:rsidRDefault="007E163C" w:rsidP="00723532">
            <w:pPr>
              <w:spacing w:beforeLines="20" w:afterLines="20"/>
              <w:jc w:val="center"/>
            </w:pPr>
          </w:p>
        </w:tc>
        <w:tc>
          <w:tcPr>
            <w:tcW w:w="1275" w:type="dxa"/>
            <w:vMerge/>
            <w:vAlign w:val="center"/>
          </w:tcPr>
          <w:p w:rsidR="007E163C" w:rsidRDefault="007E163C" w:rsidP="00723532">
            <w:pPr>
              <w:spacing w:beforeLines="20" w:afterLines="20"/>
              <w:jc w:val="center"/>
            </w:pPr>
          </w:p>
        </w:tc>
        <w:tc>
          <w:tcPr>
            <w:tcW w:w="1540" w:type="dxa"/>
            <w:vMerge/>
            <w:vAlign w:val="center"/>
          </w:tcPr>
          <w:p w:rsidR="007E163C" w:rsidRDefault="007E163C" w:rsidP="00723532">
            <w:pPr>
              <w:spacing w:beforeLines="20" w:afterLines="20"/>
              <w:jc w:val="center"/>
            </w:pP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鑫沅资产管理有限公司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鑫沅资产金梅花141号集合资产管理计划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ZZGJT202007060001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2698940911.30</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3398000000.00</w:t>
            </w:r>
          </w:p>
        </w:tc>
      </w:tr>
    </w:tbl>
    <w:p w:rsidR="007E163C" w:rsidRDefault="00985A4B">
      <w:pPr>
        <w:spacing w:before="240" w:after="72" w:line="360" w:lineRule="auto"/>
        <w:rPr>
          <w:rFonts w:ascii="方正仿宋简体" w:eastAsia="方正仿宋简体"/>
          <w:b/>
          <w:sz w:val="24"/>
          <w:szCs w:val="24"/>
        </w:rPr>
      </w:pPr>
      <w:r>
        <w:rPr>
          <w:rFonts w:ascii="方正仿宋简体" w:eastAsia="方正仿宋简体" w:hint="eastAsia"/>
          <w:b/>
          <w:sz w:val="24"/>
          <w:szCs w:val="24"/>
        </w:rPr>
        <w:t>7</w:t>
      </w:r>
      <w:r w:rsidR="00EC640C">
        <w:rPr>
          <w:rFonts w:ascii="方正仿宋简体" w:eastAsia="方正仿宋简体" w:hint="eastAsia"/>
          <w:b/>
          <w:sz w:val="24"/>
          <w:szCs w:val="24"/>
        </w:rPr>
        <w:t>.</w:t>
      </w:r>
      <w:r w:rsidR="008D3CD9">
        <w:rPr>
          <w:rFonts w:ascii="方正仿宋简体" w:eastAsia="方正仿宋简体" w:hint="eastAsia"/>
          <w:b/>
          <w:sz w:val="24"/>
          <w:szCs w:val="24"/>
        </w:rPr>
        <w:t>4其他关联交易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7E163C">
        <w:trPr>
          <w:trHeight w:val="1048"/>
          <w:jc w:val="center"/>
        </w:trPr>
        <w:tc>
          <w:tcPr>
            <w:tcW w:w="877"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2842" w:type="dxa"/>
            <w:vAlign w:val="center"/>
          </w:tcPr>
          <w:p w:rsidR="007E163C" w:rsidRDefault="008D3CD9" w:rsidP="00723532">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1128534.39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395955.85</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其他服务费用</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w:t>
            </w:r>
          </w:p>
        </w:tc>
      </w:tr>
    </w:tbl>
    <w:p w:rsidR="007E163C" w:rsidRDefault="007E163C">
      <w:pPr>
        <w:spacing w:before="240"/>
        <w:rPr>
          <w:rFonts w:ascii="方正仿宋简体" w:eastAsia="方正仿宋简体" w:hAnsi="宋体" w:cs="宋体"/>
          <w:kern w:val="0"/>
          <w:sz w:val="24"/>
          <w:szCs w:val="24"/>
        </w:rPr>
      </w:pPr>
    </w:p>
    <w:p w:rsidR="007E163C" w:rsidRDefault="007E163C">
      <w:pPr>
        <w:spacing w:before="240"/>
        <w:rPr>
          <w:rFonts w:ascii="方正仿宋简体" w:eastAsia="方正仿宋简体" w:hAnsi="宋体" w:cs="宋体"/>
          <w:kern w:val="0"/>
          <w:sz w:val="24"/>
          <w:szCs w:val="24"/>
        </w:rPr>
      </w:pPr>
    </w:p>
    <w:p w:rsidR="007E163C" w:rsidRDefault="007E163C">
      <w:pPr>
        <w:spacing w:before="240"/>
        <w:rPr>
          <w:rFonts w:ascii="方正仿宋简体" w:eastAsia="方正仿宋简体" w:hAnsi="宋体" w:cs="宋体"/>
          <w:kern w:val="0"/>
          <w:sz w:val="24"/>
          <w:szCs w:val="24"/>
        </w:rPr>
      </w:pPr>
    </w:p>
    <w:p w:rsidR="007E163C" w:rsidRDefault="007E163C">
      <w:pPr>
        <w:spacing w:before="240"/>
        <w:rPr>
          <w:rFonts w:ascii="方正仿宋简体" w:eastAsia="方正仿宋简体" w:hAnsi="宋体" w:cs="宋体"/>
          <w:kern w:val="0"/>
          <w:sz w:val="24"/>
          <w:szCs w:val="24"/>
        </w:rPr>
      </w:pPr>
    </w:p>
    <w:p w:rsidR="007E163C" w:rsidRDefault="008D3CD9">
      <w:pPr>
        <w:spacing w:before="240"/>
        <w:jc w:val="right"/>
        <w:rPr>
          <w:rFonts w:ascii="方正仿宋简体" w:eastAsia="方正仿宋简体" w:hAnsi="Calibri"/>
          <w:b/>
          <w:sz w:val="24"/>
          <w:szCs w:val="24"/>
        </w:rPr>
      </w:pPr>
      <w:r>
        <w:rPr>
          <w:rFonts w:ascii="方正仿宋简体" w:eastAsia="方正仿宋简体" w:hAnsi="Calibri" w:hint="eastAsia"/>
          <w:b/>
          <w:sz w:val="24"/>
          <w:szCs w:val="24"/>
        </w:rPr>
        <w:t>南银理财有限责任公司</w:t>
      </w:r>
    </w:p>
    <w:p w:rsidR="007E163C" w:rsidRDefault="008D3CD9">
      <w:pPr>
        <w:spacing w:before="240"/>
        <w:jc w:val="right"/>
        <w:rPr>
          <w:rFonts w:ascii="方正仿宋简体" w:eastAsia="方正仿宋简体"/>
          <w:b/>
          <w:sz w:val="24"/>
          <w:szCs w:val="24"/>
        </w:rPr>
      </w:pPr>
      <w:r>
        <w:rPr>
          <w:rFonts w:ascii="方正仿宋简体" w:eastAsia="方正仿宋简体" w:hint="eastAsia"/>
          <w:b/>
          <w:sz w:val="24"/>
          <w:szCs w:val="24"/>
        </w:rPr>
        <w:t>2025年12月31日</w:t>
      </w:r>
    </w:p>
    <w:sectPr w:rsidR="007E163C" w:rsidSect="007E163C">
      <w:headerReference w:type="default" r:id="rId7"/>
      <w:footerReference w:type="even" r:id="rId8"/>
      <w:footerReference w:type="default" r:id="rId9"/>
      <w:headerReference w:type="first" r:id="rId10"/>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74C" w:rsidRDefault="00E0174C" w:rsidP="007E163C">
      <w:r>
        <w:separator/>
      </w:r>
    </w:p>
  </w:endnote>
  <w:endnote w:type="continuationSeparator" w:id="1">
    <w:p w:rsidR="00E0174C" w:rsidRDefault="00E0174C" w:rsidP="007E16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63C" w:rsidRDefault="00A42D4B">
    <w:pPr>
      <w:pStyle w:val="a5"/>
      <w:framePr w:wrap="around" w:vAnchor="text" w:hAnchor="margin" w:xAlign="center" w:y="1"/>
      <w:rPr>
        <w:rStyle w:val="aa"/>
      </w:rPr>
    </w:pPr>
    <w:r>
      <w:fldChar w:fldCharType="begin"/>
    </w:r>
    <w:r w:rsidR="008D3CD9">
      <w:rPr>
        <w:rStyle w:val="aa"/>
      </w:rPr>
      <w:instrText xml:space="preserve">PAGE  </w:instrText>
    </w:r>
    <w:r>
      <w:fldChar w:fldCharType="end"/>
    </w:r>
  </w:p>
  <w:p w:rsidR="007E163C" w:rsidRDefault="007E163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63C" w:rsidRDefault="007E163C">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74C" w:rsidRDefault="00E0174C" w:rsidP="007E163C">
      <w:r>
        <w:separator/>
      </w:r>
    </w:p>
  </w:footnote>
  <w:footnote w:type="continuationSeparator" w:id="1">
    <w:p w:rsidR="00E0174C" w:rsidRDefault="00E0174C" w:rsidP="007E16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63C" w:rsidRDefault="007E163C">
    <w:pPr>
      <w:pStyle w:val="a6"/>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63C" w:rsidRDefault="007E163C">
    <w:pPr>
      <w:pStyle w:val="a6"/>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noPunctuationKerning/>
  <w:characterSpacingControl w:val="compressPunctuation"/>
  <w:hdrShapeDefaults>
    <o:shapedefaults v:ext="edit" spidmax="5122"/>
  </w:hdrShapeDefaults>
  <w:footnotePr>
    <w:footnote w:id="0"/>
    <w:footnote w:id="1"/>
  </w:footnotePr>
  <w:endnotePr>
    <w:endnote w:id="0"/>
    <w:endnote w:id="1"/>
  </w:endnotePr>
  <w:compat>
    <w:doNotExpandShiftReturn/>
    <w:useFELayout/>
  </w:compat>
  <w:rsids>
    <w:rsidRoot w:val="00172A27"/>
    <w:rsid w:val="000020F7"/>
    <w:rsid w:val="000060E5"/>
    <w:rsid w:val="0001734B"/>
    <w:rsid w:val="000234FF"/>
    <w:rsid w:val="00026D52"/>
    <w:rsid w:val="000318AA"/>
    <w:rsid w:val="00034FF6"/>
    <w:rsid w:val="00044BFF"/>
    <w:rsid w:val="000470C2"/>
    <w:rsid w:val="0005474A"/>
    <w:rsid w:val="00061725"/>
    <w:rsid w:val="00082D5F"/>
    <w:rsid w:val="00095B95"/>
    <w:rsid w:val="000A3711"/>
    <w:rsid w:val="000D5066"/>
    <w:rsid w:val="000E3A08"/>
    <w:rsid w:val="000E6ACE"/>
    <w:rsid w:val="000F6191"/>
    <w:rsid w:val="001279EA"/>
    <w:rsid w:val="00130CE8"/>
    <w:rsid w:val="0014449D"/>
    <w:rsid w:val="00152201"/>
    <w:rsid w:val="00172A27"/>
    <w:rsid w:val="001735BA"/>
    <w:rsid w:val="00176636"/>
    <w:rsid w:val="00183C84"/>
    <w:rsid w:val="001B497D"/>
    <w:rsid w:val="001C05F9"/>
    <w:rsid w:val="001C5395"/>
    <w:rsid w:val="001E2EEA"/>
    <w:rsid w:val="001E5905"/>
    <w:rsid w:val="001E7120"/>
    <w:rsid w:val="00211F26"/>
    <w:rsid w:val="00224D9D"/>
    <w:rsid w:val="002263FC"/>
    <w:rsid w:val="002448E3"/>
    <w:rsid w:val="00247A0A"/>
    <w:rsid w:val="0026638C"/>
    <w:rsid w:val="00295E85"/>
    <w:rsid w:val="002A3AE9"/>
    <w:rsid w:val="002C196E"/>
    <w:rsid w:val="002C4810"/>
    <w:rsid w:val="002C555A"/>
    <w:rsid w:val="002D2DB0"/>
    <w:rsid w:val="002D6D6F"/>
    <w:rsid w:val="002D75D0"/>
    <w:rsid w:val="002E7131"/>
    <w:rsid w:val="002E795C"/>
    <w:rsid w:val="003041BA"/>
    <w:rsid w:val="00305714"/>
    <w:rsid w:val="00313E71"/>
    <w:rsid w:val="00321CB7"/>
    <w:rsid w:val="003379A9"/>
    <w:rsid w:val="00350ADF"/>
    <w:rsid w:val="00355623"/>
    <w:rsid w:val="00387F9B"/>
    <w:rsid w:val="00392C61"/>
    <w:rsid w:val="003A0419"/>
    <w:rsid w:val="003A6E48"/>
    <w:rsid w:val="003B7361"/>
    <w:rsid w:val="003C4D3B"/>
    <w:rsid w:val="003D4B6E"/>
    <w:rsid w:val="003E09EA"/>
    <w:rsid w:val="003E412C"/>
    <w:rsid w:val="003F0AC3"/>
    <w:rsid w:val="003F38EF"/>
    <w:rsid w:val="00405AE9"/>
    <w:rsid w:val="00456251"/>
    <w:rsid w:val="00492870"/>
    <w:rsid w:val="004A2DC3"/>
    <w:rsid w:val="004A761B"/>
    <w:rsid w:val="004B3B60"/>
    <w:rsid w:val="004B5DED"/>
    <w:rsid w:val="004C1607"/>
    <w:rsid w:val="004E621E"/>
    <w:rsid w:val="004F2359"/>
    <w:rsid w:val="004F313C"/>
    <w:rsid w:val="00500DE2"/>
    <w:rsid w:val="005069D8"/>
    <w:rsid w:val="0051077F"/>
    <w:rsid w:val="00521B27"/>
    <w:rsid w:val="00522858"/>
    <w:rsid w:val="0055440C"/>
    <w:rsid w:val="0056130A"/>
    <w:rsid w:val="0056162E"/>
    <w:rsid w:val="00563B93"/>
    <w:rsid w:val="00567DB3"/>
    <w:rsid w:val="00581E78"/>
    <w:rsid w:val="00594CF2"/>
    <w:rsid w:val="00595354"/>
    <w:rsid w:val="005B3434"/>
    <w:rsid w:val="005B3C9E"/>
    <w:rsid w:val="005B5092"/>
    <w:rsid w:val="005B7384"/>
    <w:rsid w:val="005D5ED6"/>
    <w:rsid w:val="005E0686"/>
    <w:rsid w:val="005E2884"/>
    <w:rsid w:val="005E40C5"/>
    <w:rsid w:val="005E5050"/>
    <w:rsid w:val="005F2C7B"/>
    <w:rsid w:val="005F43AF"/>
    <w:rsid w:val="005F4D04"/>
    <w:rsid w:val="005F7DA9"/>
    <w:rsid w:val="006054F8"/>
    <w:rsid w:val="0065419A"/>
    <w:rsid w:val="00654220"/>
    <w:rsid w:val="00663B94"/>
    <w:rsid w:val="00677F66"/>
    <w:rsid w:val="00691C4B"/>
    <w:rsid w:val="006A77A0"/>
    <w:rsid w:val="006B63CE"/>
    <w:rsid w:val="006C1014"/>
    <w:rsid w:val="006E0CC3"/>
    <w:rsid w:val="006E4E94"/>
    <w:rsid w:val="006F26CF"/>
    <w:rsid w:val="006F69B2"/>
    <w:rsid w:val="007017D8"/>
    <w:rsid w:val="00723532"/>
    <w:rsid w:val="00730BEE"/>
    <w:rsid w:val="0073101E"/>
    <w:rsid w:val="00735153"/>
    <w:rsid w:val="00741E97"/>
    <w:rsid w:val="00745421"/>
    <w:rsid w:val="00745F96"/>
    <w:rsid w:val="00774E0A"/>
    <w:rsid w:val="00782F29"/>
    <w:rsid w:val="007A4219"/>
    <w:rsid w:val="007B08DF"/>
    <w:rsid w:val="007E0B6E"/>
    <w:rsid w:val="007E163C"/>
    <w:rsid w:val="007E4637"/>
    <w:rsid w:val="00800690"/>
    <w:rsid w:val="0080200C"/>
    <w:rsid w:val="00814110"/>
    <w:rsid w:val="00823928"/>
    <w:rsid w:val="0082561A"/>
    <w:rsid w:val="00846B2E"/>
    <w:rsid w:val="0085663C"/>
    <w:rsid w:val="00870717"/>
    <w:rsid w:val="008768AB"/>
    <w:rsid w:val="008870FD"/>
    <w:rsid w:val="008904CC"/>
    <w:rsid w:val="008926F7"/>
    <w:rsid w:val="008A7510"/>
    <w:rsid w:val="008C78BD"/>
    <w:rsid w:val="008D3CD9"/>
    <w:rsid w:val="008D57C5"/>
    <w:rsid w:val="008F099C"/>
    <w:rsid w:val="008F0FA3"/>
    <w:rsid w:val="00900D90"/>
    <w:rsid w:val="00902630"/>
    <w:rsid w:val="00931BD2"/>
    <w:rsid w:val="009354D6"/>
    <w:rsid w:val="00956754"/>
    <w:rsid w:val="009679B0"/>
    <w:rsid w:val="00970A98"/>
    <w:rsid w:val="00977E89"/>
    <w:rsid w:val="00985A4B"/>
    <w:rsid w:val="00994F2E"/>
    <w:rsid w:val="009A4E79"/>
    <w:rsid w:val="009B1695"/>
    <w:rsid w:val="009B2EEF"/>
    <w:rsid w:val="009C4574"/>
    <w:rsid w:val="009C6A99"/>
    <w:rsid w:val="009C781F"/>
    <w:rsid w:val="009D5296"/>
    <w:rsid w:val="009E6170"/>
    <w:rsid w:val="009F1FD4"/>
    <w:rsid w:val="009F4338"/>
    <w:rsid w:val="009F6D0D"/>
    <w:rsid w:val="00A204A0"/>
    <w:rsid w:val="00A42D4B"/>
    <w:rsid w:val="00A4484F"/>
    <w:rsid w:val="00A61A43"/>
    <w:rsid w:val="00A66D8E"/>
    <w:rsid w:val="00A76D4B"/>
    <w:rsid w:val="00A77C47"/>
    <w:rsid w:val="00A9119C"/>
    <w:rsid w:val="00A94A56"/>
    <w:rsid w:val="00AA4549"/>
    <w:rsid w:val="00AA4D99"/>
    <w:rsid w:val="00AA5B04"/>
    <w:rsid w:val="00AC5144"/>
    <w:rsid w:val="00B13014"/>
    <w:rsid w:val="00B17559"/>
    <w:rsid w:val="00B23E1D"/>
    <w:rsid w:val="00B33978"/>
    <w:rsid w:val="00B33B19"/>
    <w:rsid w:val="00B404E6"/>
    <w:rsid w:val="00B4360D"/>
    <w:rsid w:val="00B43E89"/>
    <w:rsid w:val="00B61EA9"/>
    <w:rsid w:val="00B670D1"/>
    <w:rsid w:val="00B74DCA"/>
    <w:rsid w:val="00B90CE8"/>
    <w:rsid w:val="00BC3903"/>
    <w:rsid w:val="00BD0A6A"/>
    <w:rsid w:val="00BE47E0"/>
    <w:rsid w:val="00BF3D9D"/>
    <w:rsid w:val="00BF75C8"/>
    <w:rsid w:val="00C03FE9"/>
    <w:rsid w:val="00C1762E"/>
    <w:rsid w:val="00C20F36"/>
    <w:rsid w:val="00C25123"/>
    <w:rsid w:val="00C2582A"/>
    <w:rsid w:val="00C30A48"/>
    <w:rsid w:val="00C375A7"/>
    <w:rsid w:val="00C44DFE"/>
    <w:rsid w:val="00C62DF8"/>
    <w:rsid w:val="00C640FB"/>
    <w:rsid w:val="00C86023"/>
    <w:rsid w:val="00C935FD"/>
    <w:rsid w:val="00C94EBA"/>
    <w:rsid w:val="00CB054E"/>
    <w:rsid w:val="00CB417C"/>
    <w:rsid w:val="00CC52D7"/>
    <w:rsid w:val="00CE4DED"/>
    <w:rsid w:val="00CF3BBF"/>
    <w:rsid w:val="00D15B21"/>
    <w:rsid w:val="00D23AB6"/>
    <w:rsid w:val="00D50309"/>
    <w:rsid w:val="00D51AA9"/>
    <w:rsid w:val="00D7264A"/>
    <w:rsid w:val="00D84E43"/>
    <w:rsid w:val="00D870DF"/>
    <w:rsid w:val="00DA30A0"/>
    <w:rsid w:val="00DB0C2F"/>
    <w:rsid w:val="00DB2A0F"/>
    <w:rsid w:val="00DB3BF6"/>
    <w:rsid w:val="00DB56A2"/>
    <w:rsid w:val="00DC31CC"/>
    <w:rsid w:val="00DC728A"/>
    <w:rsid w:val="00DD2F3C"/>
    <w:rsid w:val="00DD4E8C"/>
    <w:rsid w:val="00DD65B5"/>
    <w:rsid w:val="00DF6907"/>
    <w:rsid w:val="00E0174C"/>
    <w:rsid w:val="00E1059D"/>
    <w:rsid w:val="00E155DF"/>
    <w:rsid w:val="00E15FF4"/>
    <w:rsid w:val="00E246E1"/>
    <w:rsid w:val="00E314CE"/>
    <w:rsid w:val="00E41EA0"/>
    <w:rsid w:val="00E514EB"/>
    <w:rsid w:val="00E52823"/>
    <w:rsid w:val="00E52B10"/>
    <w:rsid w:val="00E600D0"/>
    <w:rsid w:val="00E7192D"/>
    <w:rsid w:val="00E82AB5"/>
    <w:rsid w:val="00E944FA"/>
    <w:rsid w:val="00E9797A"/>
    <w:rsid w:val="00EB0DB4"/>
    <w:rsid w:val="00EC640C"/>
    <w:rsid w:val="00EE0436"/>
    <w:rsid w:val="00EF0A98"/>
    <w:rsid w:val="00F41324"/>
    <w:rsid w:val="00F57C12"/>
    <w:rsid w:val="00F609FD"/>
    <w:rsid w:val="00F64BD9"/>
    <w:rsid w:val="00F7052D"/>
    <w:rsid w:val="00F771E3"/>
    <w:rsid w:val="00F8162C"/>
    <w:rsid w:val="00F82713"/>
    <w:rsid w:val="00F84F36"/>
    <w:rsid w:val="00F859AB"/>
    <w:rsid w:val="00F907A7"/>
    <w:rsid w:val="00F950D0"/>
    <w:rsid w:val="00FA0110"/>
    <w:rsid w:val="00FA2C26"/>
    <w:rsid w:val="00FD1F12"/>
    <w:rsid w:val="00FD412B"/>
    <w:rsid w:val="00FF26C8"/>
    <w:rsid w:val="016D581F"/>
    <w:rsid w:val="030F2BA7"/>
    <w:rsid w:val="04240CEE"/>
    <w:rsid w:val="065551D3"/>
    <w:rsid w:val="06C37561"/>
    <w:rsid w:val="0A236A5A"/>
    <w:rsid w:val="10992483"/>
    <w:rsid w:val="111D4539"/>
    <w:rsid w:val="13297F9C"/>
    <w:rsid w:val="134727C6"/>
    <w:rsid w:val="141A5102"/>
    <w:rsid w:val="159E25E1"/>
    <w:rsid w:val="15FE575C"/>
    <w:rsid w:val="1ADC05C7"/>
    <w:rsid w:val="1E911FB2"/>
    <w:rsid w:val="20F325AF"/>
    <w:rsid w:val="216F6F5C"/>
    <w:rsid w:val="22D04645"/>
    <w:rsid w:val="22E23E75"/>
    <w:rsid w:val="2555668E"/>
    <w:rsid w:val="25AF3A81"/>
    <w:rsid w:val="26FD4196"/>
    <w:rsid w:val="28CD1EA7"/>
    <w:rsid w:val="29F7636C"/>
    <w:rsid w:val="2A2232BA"/>
    <w:rsid w:val="32955A2A"/>
    <w:rsid w:val="32AE1BB2"/>
    <w:rsid w:val="35105304"/>
    <w:rsid w:val="36341C31"/>
    <w:rsid w:val="368076E6"/>
    <w:rsid w:val="378F5AE0"/>
    <w:rsid w:val="37F709A6"/>
    <w:rsid w:val="38980A6C"/>
    <w:rsid w:val="39E872E9"/>
    <w:rsid w:val="3ABE1FB8"/>
    <w:rsid w:val="3C753CC7"/>
    <w:rsid w:val="3F2C3B54"/>
    <w:rsid w:val="40990310"/>
    <w:rsid w:val="459870AF"/>
    <w:rsid w:val="45ED49CE"/>
    <w:rsid w:val="46F0109E"/>
    <w:rsid w:val="47475A63"/>
    <w:rsid w:val="4E276A76"/>
    <w:rsid w:val="509017BA"/>
    <w:rsid w:val="51482FC3"/>
    <w:rsid w:val="51C55614"/>
    <w:rsid w:val="52830253"/>
    <w:rsid w:val="541C469D"/>
    <w:rsid w:val="5BE61B5E"/>
    <w:rsid w:val="5F8D2B89"/>
    <w:rsid w:val="602D020F"/>
    <w:rsid w:val="64C67B5C"/>
    <w:rsid w:val="66B51B39"/>
    <w:rsid w:val="66F47EBC"/>
    <w:rsid w:val="681903E9"/>
    <w:rsid w:val="68823415"/>
    <w:rsid w:val="6898111C"/>
    <w:rsid w:val="6A485270"/>
    <w:rsid w:val="6D05415D"/>
    <w:rsid w:val="6F66394D"/>
    <w:rsid w:val="73193673"/>
    <w:rsid w:val="74543F24"/>
    <w:rsid w:val="74BE328D"/>
    <w:rsid w:val="75523113"/>
    <w:rsid w:val="780E0FCF"/>
    <w:rsid w:val="7E7247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page number"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semiHidden="0" w:qFormat="1"/>
    <w:lsdException w:name="Balloon Text" w:semiHidden="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6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7E163C"/>
    <w:pPr>
      <w:jc w:val="left"/>
    </w:pPr>
  </w:style>
  <w:style w:type="paragraph" w:styleId="a4">
    <w:name w:val="Balloon Text"/>
    <w:basedOn w:val="a"/>
    <w:link w:val="Char0"/>
    <w:uiPriority w:val="99"/>
    <w:unhideWhenUsed/>
    <w:qFormat/>
    <w:rsid w:val="007E163C"/>
    <w:rPr>
      <w:sz w:val="18"/>
      <w:szCs w:val="18"/>
    </w:rPr>
  </w:style>
  <w:style w:type="paragraph" w:styleId="a5">
    <w:name w:val="footer"/>
    <w:basedOn w:val="a"/>
    <w:link w:val="Char1"/>
    <w:uiPriority w:val="99"/>
    <w:unhideWhenUsed/>
    <w:qFormat/>
    <w:rsid w:val="007E163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E163C"/>
    <w:pPr>
      <w:pBdr>
        <w:bottom w:val="single" w:sz="6" w:space="1" w:color="auto"/>
      </w:pBdr>
      <w:tabs>
        <w:tab w:val="center" w:pos="4153"/>
        <w:tab w:val="right" w:pos="8306"/>
      </w:tabs>
      <w:snapToGrid w:val="0"/>
      <w:jc w:val="center"/>
    </w:pPr>
    <w:rPr>
      <w:sz w:val="18"/>
      <w:szCs w:val="18"/>
    </w:rPr>
  </w:style>
  <w:style w:type="paragraph" w:styleId="a7">
    <w:name w:val="footnote text"/>
    <w:basedOn w:val="a"/>
    <w:uiPriority w:val="99"/>
    <w:unhideWhenUsed/>
    <w:qFormat/>
    <w:rsid w:val="007E163C"/>
    <w:pPr>
      <w:snapToGrid w:val="0"/>
      <w:jc w:val="left"/>
    </w:pPr>
    <w:rPr>
      <w:sz w:val="18"/>
    </w:rPr>
  </w:style>
  <w:style w:type="paragraph" w:styleId="a8">
    <w:name w:val="Normal (Web)"/>
    <w:basedOn w:val="a"/>
    <w:qFormat/>
    <w:rsid w:val="007E163C"/>
    <w:pPr>
      <w:widowControl/>
      <w:spacing w:before="100" w:beforeAutospacing="1" w:after="100" w:afterAutospacing="1"/>
      <w:jc w:val="left"/>
    </w:pPr>
    <w:rPr>
      <w:rFonts w:ascii="宋体" w:hAnsi="宋体"/>
      <w:kern w:val="0"/>
      <w:sz w:val="24"/>
      <w:szCs w:val="24"/>
    </w:rPr>
  </w:style>
  <w:style w:type="paragraph" w:styleId="a9">
    <w:name w:val="annotation subject"/>
    <w:basedOn w:val="a3"/>
    <w:next w:val="a3"/>
    <w:link w:val="Char3"/>
    <w:uiPriority w:val="99"/>
    <w:unhideWhenUsed/>
    <w:qFormat/>
    <w:rsid w:val="007E163C"/>
    <w:rPr>
      <w:b/>
      <w:bCs/>
    </w:rPr>
  </w:style>
  <w:style w:type="character" w:styleId="aa">
    <w:name w:val="page number"/>
    <w:basedOn w:val="a0"/>
    <w:uiPriority w:val="99"/>
    <w:unhideWhenUsed/>
    <w:qFormat/>
    <w:rsid w:val="007E163C"/>
  </w:style>
  <w:style w:type="character" w:styleId="ab">
    <w:name w:val="annotation reference"/>
    <w:uiPriority w:val="99"/>
    <w:unhideWhenUsed/>
    <w:qFormat/>
    <w:rsid w:val="007E163C"/>
    <w:rPr>
      <w:sz w:val="21"/>
      <w:szCs w:val="21"/>
    </w:rPr>
  </w:style>
  <w:style w:type="character" w:styleId="ac">
    <w:name w:val="footnote reference"/>
    <w:uiPriority w:val="99"/>
    <w:unhideWhenUsed/>
    <w:qFormat/>
    <w:rsid w:val="007E163C"/>
    <w:rPr>
      <w:vertAlign w:val="superscript"/>
    </w:rPr>
  </w:style>
  <w:style w:type="character" w:customStyle="1" w:styleId="Char0">
    <w:name w:val="批注框文本 Char"/>
    <w:link w:val="a4"/>
    <w:uiPriority w:val="99"/>
    <w:semiHidden/>
    <w:qFormat/>
    <w:rsid w:val="007E163C"/>
    <w:rPr>
      <w:kern w:val="2"/>
      <w:sz w:val="18"/>
      <w:szCs w:val="18"/>
    </w:rPr>
  </w:style>
  <w:style w:type="character" w:customStyle="1" w:styleId="Char2">
    <w:name w:val="页眉 Char"/>
    <w:link w:val="a6"/>
    <w:uiPriority w:val="99"/>
    <w:semiHidden/>
    <w:qFormat/>
    <w:locked/>
    <w:rsid w:val="007E163C"/>
    <w:rPr>
      <w:rFonts w:ascii="Times New Roman" w:hAnsi="Times New Roman" w:cs="Times New Roman" w:hint="default"/>
      <w:sz w:val="18"/>
      <w:szCs w:val="18"/>
    </w:rPr>
  </w:style>
  <w:style w:type="character" w:customStyle="1" w:styleId="Char3">
    <w:name w:val="批注主题 Char"/>
    <w:link w:val="a9"/>
    <w:uiPriority w:val="99"/>
    <w:semiHidden/>
    <w:qFormat/>
    <w:rsid w:val="007E163C"/>
    <w:rPr>
      <w:b/>
      <w:bCs/>
      <w:kern w:val="2"/>
      <w:sz w:val="21"/>
      <w:szCs w:val="22"/>
    </w:rPr>
  </w:style>
  <w:style w:type="character" w:customStyle="1" w:styleId="Char1">
    <w:name w:val="页脚 Char"/>
    <w:link w:val="a5"/>
    <w:uiPriority w:val="99"/>
    <w:semiHidden/>
    <w:qFormat/>
    <w:locked/>
    <w:rsid w:val="007E163C"/>
    <w:rPr>
      <w:rFonts w:ascii="Times New Roman" w:hAnsi="Times New Roman" w:cs="Times New Roman" w:hint="default"/>
      <w:sz w:val="18"/>
      <w:szCs w:val="18"/>
    </w:rPr>
  </w:style>
  <w:style w:type="character" w:customStyle="1" w:styleId="Char">
    <w:name w:val="批注文字 Char"/>
    <w:link w:val="a3"/>
    <w:uiPriority w:val="99"/>
    <w:qFormat/>
    <w:rsid w:val="007E163C"/>
    <w:rPr>
      <w:kern w:val="2"/>
      <w:sz w:val="21"/>
      <w:szCs w:val="22"/>
    </w:rPr>
  </w:style>
  <w:style w:type="paragraph" w:customStyle="1" w:styleId="zhongyaotishi">
    <w:name w:val="zhongyaotishi"/>
    <w:basedOn w:val="a"/>
    <w:qFormat/>
    <w:rsid w:val="007E163C"/>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zhangjiep">
    <w:name w:val="zhangjie_p"/>
    <w:basedOn w:val="a"/>
    <w:qFormat/>
    <w:rsid w:val="007E163C"/>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biaogeright1">
    <w:name w:val="biaoge_right1"/>
    <w:basedOn w:val="a"/>
    <w:qFormat/>
    <w:rsid w:val="007E163C"/>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right">
    <w:name w:val="biaoge_right"/>
    <w:basedOn w:val="a"/>
    <w:qFormat/>
    <w:rsid w:val="007E163C"/>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center">
    <w:name w:val="biaoge_center"/>
    <w:basedOn w:val="a"/>
    <w:qFormat/>
    <w:rsid w:val="007E163C"/>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msonormalfy">
    <w:name w:val="msonormalfy"/>
    <w:qFormat/>
    <w:rsid w:val="007E163C"/>
    <w:pPr>
      <w:widowControl w:val="0"/>
      <w:jc w:val="center"/>
    </w:pPr>
    <w:rPr>
      <w:kern w:val="2"/>
      <w:sz w:val="33"/>
      <w:szCs w:val="22"/>
    </w:rPr>
  </w:style>
  <w:style w:type="paragraph" w:customStyle="1" w:styleId="biaogeleft">
    <w:name w:val="biaoge_left"/>
    <w:basedOn w:val="a"/>
    <w:qFormat/>
    <w:rsid w:val="007E163C"/>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dazhangjie">
    <w:name w:val="dazhangjie"/>
    <w:basedOn w:val="a"/>
    <w:qFormat/>
    <w:rsid w:val="007E163C"/>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zhangjiep2">
    <w:name w:val="zhangjie_p2"/>
    <w:basedOn w:val="a"/>
    <w:qFormat/>
    <w:rsid w:val="007E163C"/>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hide">
    <w:name w:val="hide"/>
    <w:basedOn w:val="a"/>
    <w:qFormat/>
    <w:rsid w:val="007E163C"/>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qFormat/>
    <w:rsid w:val="007E163C"/>
    <w:pPr>
      <w:widowControl/>
      <w:spacing w:before="100" w:beforeAutospacing="1" w:after="100" w:afterAutospacing="1"/>
      <w:jc w:val="left"/>
    </w:pPr>
    <w:rPr>
      <w:rFonts w:ascii="宋体" w:hAnsi="宋体" w:cs="宋体"/>
      <w:kern w:val="0"/>
      <w:sz w:val="24"/>
      <w:szCs w:val="24"/>
    </w:rPr>
  </w:style>
  <w:style w:type="paragraph" w:customStyle="1" w:styleId="msonormalnone">
    <w:name w:val="msonormal_none"/>
    <w:qFormat/>
    <w:rsid w:val="007E163C"/>
    <w:pPr>
      <w:widowControl w:val="0"/>
    </w:pPr>
    <w:rPr>
      <w:kern w:val="2"/>
      <w:sz w:val="21"/>
      <w:szCs w:val="22"/>
    </w:rPr>
  </w:style>
  <w:style w:type="paragraph" w:customStyle="1" w:styleId="neirong">
    <w:name w:val="neirong"/>
    <w:basedOn w:val="a"/>
    <w:qFormat/>
    <w:rsid w:val="007E163C"/>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1">
    <w:name w:val="正文1"/>
    <w:qFormat/>
    <w:rsid w:val="007E163C"/>
    <w:pPr>
      <w:jc w:val="both"/>
    </w:pPr>
    <w:rPr>
      <w:kern w:val="2"/>
      <w:sz w:val="21"/>
      <w:szCs w:val="21"/>
    </w:rPr>
  </w:style>
  <w:style w:type="paragraph" w:customStyle="1" w:styleId="Default">
    <w:name w:val="Default"/>
    <w:qFormat/>
    <w:rsid w:val="007E163C"/>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454</Words>
  <Characters>2591</Characters>
  <Application>Microsoft Office Word</Application>
  <DocSecurity>0</DocSecurity>
  <Lines>21</Lines>
  <Paragraphs>6</Paragraphs>
  <ScaleCrop>false</ScaleCrop>
  <Company>微软中国</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2022-07-26T07:21:00Z</dcterms:created>
  <dc:creator>总行金融市场部本币投资交易部梅浩超</dc:creator>
  <cp:lastModifiedBy>yytx</cp:lastModifiedBy>
  <cp:lastPrinted>2019-09-11T00:56:00Z</cp:lastPrinted>
  <dcterms:modified xsi:type="dcterms:W3CDTF">2026-03-27T09:11:00Z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E985CFFC20A84641A474BCD722FC7BF1</vt:lpwstr>
  </property>
</Properties>
</file>