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xsi="http://www.w3.org/2001/XMLSchema-instance">
  <w:body>
    <w:p w:rsidR="007E163C" w:rsidRDefault="007E163C">
      <w:pPr>
        <w:spacing w:before="240"/>
        <w:jc w:val="center"/>
      </w:pPr>
    </w:p>
    <w:p w:rsidR="007E163C" w:rsidRDefault="007E163C">
      <w:pPr>
        <w:spacing w:before="240"/>
        <w:jc w:val="center"/>
      </w:pPr>
    </w:p>
    <w:p w:rsidR="007E163C" w:rsidRDefault="007E163C">
      <w:pPr>
        <w:spacing w:before="240"/>
        <w:jc w:val="center"/>
      </w:pPr>
    </w:p>
    <w:p w:rsidR="007E163C" w:rsidRDefault="008D3CD9">
      <w:pPr>
        <w:spacing w:before="240"/>
        <w:jc w:val="center"/>
        <w:rPr>
          <w:rFonts w:ascii="方正黑体简体" w:eastAsia="方正黑体简体"/>
          <w:sz w:val="36"/>
        </w:rPr>
      </w:pPr>
      <w:r>
        <w:rPr>
          <w:rFonts w:ascii="方正黑体简体" w:eastAsia="方正黑体简体"/>
          <w:sz w:val="36"/>
        </w:rPr>
        <w:t>南银理财鼎瑞悦稳红利（最低持有371天）公募人民币理财产品</w:t>
      </w:r>
    </w:p>
    <w:p w:rsidR="007E163C" w:rsidRDefault="008D3CD9">
      <w:pPr>
        <w:spacing w:before="240"/>
        <w:jc w:val="center"/>
        <w:rPr>
          <w:rFonts w:ascii="方正黑体简体" w:eastAsia="方正黑体简体" w:hAnsi="黑体"/>
          <w:sz w:val="36"/>
        </w:rPr>
      </w:pPr>
      <w:r>
        <w:rPr>
          <w:rFonts w:ascii="方正黑体简体" w:eastAsia="方正黑体简体" w:hAnsi="黑体"/>
          <w:sz w:val="36"/>
        </w:rPr>
        <w:t>2025年</w:t>
      </w:r>
      <w:r>
        <w:rPr>
          <w:rFonts w:ascii="方正黑体简体" w:eastAsia="方正黑体简体" w:hAnsi="Calibri" w:hint="eastAsia"/>
          <w:sz w:val="36"/>
        </w:rPr>
        <w:t>年度</w:t>
      </w:r>
      <w:r>
        <w:rPr>
          <w:rFonts w:ascii="方正黑体简体" w:eastAsia="方正黑体简体" w:hAnsi="黑体"/>
          <w:sz w:val="36"/>
        </w:rPr>
        <w:t>报告</w:t>
      </w: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产品管理人:南银理财有限责任公司</w:t>
      </w: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br w:type="page"/>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lastRenderedPageBreak/>
        <w:t>§1 产品概况</w:t>
      </w:r>
    </w:p>
    <w:p w:rsidR="007E163C" w:rsidRDefault="007E163C">
      <w:pPr>
        <w:spacing w:before="240"/>
        <w:rPr>
          <w:rFonts w:ascii="方正仿宋简体" w:eastAsia="方正仿宋简体" w:hAnsi="宋体" w:cs="宋体"/>
          <w:kern w:val="0"/>
          <w:sz w:val="24"/>
          <w:szCs w:val="24"/>
        </w:rPr>
      </w:pPr>
    </w:p>
    <w:tbl>
      <w:tblPr>
        <w:tblW w:w="91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11"/>
        <w:gridCol w:w="6387"/>
      </w:tblGrid>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产品全称</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南银理财鼎瑞悦稳红利（最低持有371天）公募人民币理财产品</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产品登记编码</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Z7003224000015（投资者可依据该编码在中国理财网www.chinawealth.com.cn查询理财产品相关信息）</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产品运作方式</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开放式净值型</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产品成立日</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2024年01月10日</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报告期末产品份额总额</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2,122,436,750.42份</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报告期末产品杠杆水平</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sz w:val="24"/>
                <w:szCs w:val="24"/>
              </w:rPr>
              <w:t>100.05%</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合作机构</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中粮信托有限责任公司,鑫元基金管理有限公司,陆家嘴国际信托有限公司,江苏省国际信托有限责任公司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产品管理人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南银理财有限责任公司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产品托管人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南京银行股份有限公司</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Calibri"/>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§2  主要财务指标和产品</w:t>
      </w:r>
      <w:r>
        <w:rPr>
          <w:rFonts w:ascii="方正仿宋简体" w:eastAsia="方正仿宋简体" w:hint="eastAsia"/>
          <w:b/>
          <w:sz w:val="24"/>
          <w:szCs w:val="24"/>
        </w:rPr>
        <w:t>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2.1 主要财务指标</w:t>
      </w:r>
    </w:p>
    <w:p w:rsidR="007E163C" w:rsidRDefault="008D3CD9">
      <w:pPr>
        <w:spacing w:before="240"/>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122"/>
        <w:gridCol w:w="2551"/>
        <w:gridCol w:w="1418"/>
        <w:gridCol w:w="1275"/>
        <w:gridCol w:w="1956"/>
      </w:tblGrid>
      <w:tr w:rsidR="007E163C">
        <w:tc>
          <w:tcPr>
            <w:tcW w:w="2122" w:type="dxa"/>
            <w:vMerge w:val="restart"/>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00" w:type="dxa"/>
            <w:gridSpan w:val="4"/>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报告期（2025年01月01日 - 2025年12月31日）</w:t>
            </w:r>
          </w:p>
        </w:tc>
      </w:tr>
      <w:tr w:rsidR="007E163C">
        <w:tc>
          <w:tcPr>
            <w:tcW w:w="2122" w:type="dxa"/>
            <w:vMerge/>
            <w:vAlign w:val="center"/>
          </w:tcPr>
          <w:p w:rsidR="007E163C" w:rsidRDefault="007E163C" w:rsidP="00723532">
            <w:pPr>
              <w:spacing w:before="240" w:afterLines="50" w:line="360" w:lineRule="auto"/>
              <w:jc w:val="center"/>
              <w:rPr>
                <w:rFonts w:ascii="方正仿宋简体" w:eastAsia="方正仿宋简体"/>
                <w:sz w:val="24"/>
                <w:szCs w:val="24"/>
              </w:rPr>
            </w:pPr>
          </w:p>
        </w:tc>
        <w:tc>
          <w:tcPr>
            <w:tcW w:w="2551"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1.期末产品最后一个市场交易日资产净值</w:t>
            </w:r>
          </w:p>
        </w:tc>
        <w:tc>
          <w:tcPr>
            <w:tcW w:w="1418"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1275"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c>
          <w:tcPr>
            <w:tcW w:w="19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4.其它费用</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A33001</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2,113,670,408.86</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1.016060</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1.061060</w:t>
            </w:r>
          </w:p>
        </w:tc>
        <w:tc>
          <w:tcPr>
            <w:tcW w:w="1956" w:type="dxa"/>
            <w:vMerge w:val="restart"/>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11,000.00</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A33003</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42,829,394.73</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1.015490</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1.057318</w:t>
            </w:r>
          </w:p>
        </w:tc>
        <w:tc>
          <w:tcPr>
            <w:tcW w:w="1956" w:type="dxa"/>
            <w:vMerge w:val="continue"/>
            <w:vAlign w:val="center"/>
            <w:vAlign w:val="center"/>
          </w:tcPr>
          <w:p>
            <w:pPr>
              <w:spacing w:before="240" w:afterLines="50" w:line="360" w:lineRule="auto"/>
              <w:jc w:val="center"/>
              <w:textAlignment w:val="center"/>
              <w:rPr>
                <w:rFonts w:ascii="方正仿宋简体" w:eastAsia="方正仿宋简体"/>
                <w:sz w:val="24"/>
                <w:szCs w:val="24"/>
              </w:rPr>
            </w:pPr>
          </w:p>
        </w:tc>
      </w:tr>
    </w:tbl>
    <w:p w:rsidR="007E163C" w:rsidRDefault="007E163C">
      <w:pPr>
        <w:spacing w:before="240"/>
        <w:jc w:val="right"/>
        <w:rPr>
          <w:rFonts w:ascii="方正仿宋简体" w:eastAsia="方正仿宋简体" w:cs="宋体"/>
          <w:kern w:val="0"/>
          <w:sz w:val="24"/>
          <w:szCs w:val="24"/>
        </w:rPr>
      </w:pP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注：产品净值可能存在未扣除管理人及投资合作机构业绩报酬、赎回费等费用（如有）的情况，实际收益以兑付为准。</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 产品业绩比较基准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2.2.1 本报告期产品业绩比较基准</w:t>
      </w:r>
    </w:p>
    <w:tbl>
      <w:tblPr>
        <w:tblW w:w="92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3856"/>
        <w:gridCol w:w="2694"/>
        <w:gridCol w:w="2693"/>
      </w:tblGrid>
      <w:tr w:rsidR="007E163C">
        <w:tc>
          <w:tcPr>
            <w:tcW w:w="38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阶段</w:t>
            </w:r>
          </w:p>
        </w:tc>
        <w:tc>
          <w:tcPr>
            <w:tcW w:w="2694"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2693"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业绩比较基准</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2025年08月01日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A33001</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-0.58%</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2025年08月01日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A33003</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-0.58%</w:t>
            </w:r>
          </w:p>
        </w:tc>
      </w:tr>
    </w:tbl>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§3  管理人报告</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信用债收益率窄幅波动，利差主动走阔后维持震荡。</w:t>
        <w:br w:type="textWrapping" w:clear="all"/>
      </w:r>
      <w:r>
        <w:rPr>
          <w:rFonts w:ascii="方正仿宋简体" w:eastAsia="方正仿宋简体" w:hint="eastAsia"/>
          <w:sz w:val="24"/>
          <w:szCs w:val="24"/>
        </w:rPr>
        <w:t>  展望一季度，总需求改善仍需要政策支撑，货币政策延续“适度宽松”的定位，降准降息的政策工具仍有使用空间，但由于利率整体处于低位，银行信贷开门红和财政前置发力以及风险资产的表现会对利率有所压制，债券市场大概率呈现震荡的格局，一季度有望成为年内较好的票息类资产配置时机。随着高息存款逐步到期向理财类产品转移，中期看收益率和利差有望下行，信用类资产可以把握机会左侧配置。</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  操作方面，坚持稳健运作的投资理念，对于利差保护较足的信用资产积极配置，同时关注交易活跃品种的波段机会，结合收益率水平做好久期与杠杆管理，获取稳健的投资回报。</w:t>
      </w:r>
      <w:r>
        <w:rPr>
          <w:rFonts w:ascii="方正仿宋简体" w:eastAsia="方正仿宋简体" w:hint="eastAsia"/>
          <w:sz w:val="24"/>
          <w:szCs w:val="24"/>
        </w:rPr>
        <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3.2 报告期内产品的流动性风险分析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  本产品持仓资产以债券为主，在持仓中维持合理比例高流动性资产，产品流动性状况较好。</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3.3 报告期内产品的业绩表现</w:t>
      </w:r>
    </w:p>
    <w:p w:rsidR="007E163C" w:rsidRDefault="008D3CD9">
      <w:pPr>
        <w:spacing w:before="240"/>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截至报告期末,本产品A33001份额净值为1.016060元，A33003份额净值为1.015490元。</w:t>
      </w: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hAnsi="Calibri"/>
          <w:b/>
          <w:sz w:val="24"/>
          <w:szCs w:val="24"/>
        </w:rPr>
      </w:pPr>
      <w:r>
        <w:rPr>
          <w:rFonts w:ascii="方正仿宋简体" w:eastAsia="方正仿宋简体" w:hAnsi="Calibri" w:hint="eastAsia"/>
          <w:b/>
          <w:sz w:val="24"/>
          <w:szCs w:val="24"/>
        </w:rPr>
        <w:t>§4  托管人报告</w:t>
      </w:r>
    </w:p>
    <w:p w:rsidR="007E163C" w:rsidRDefault="007E163C">
      <w:pPr>
        <w:spacing w:before="240"/>
        <w:rPr>
          <w:rFonts w:ascii="方正仿宋简体" w:eastAsia="方正仿宋简体" w:hAnsi="Calibri"/>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4.1报告期内托管人遵规守信情况声明</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4.2 托管人对报告期内投资运作遵规守信、净值计算、利润分配等情况的说明</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4.3 托管人对本报告期内报告中财务信息等内容的真实、准确和完整发表意见</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§5  投资组合报告</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5.1 报告期末产品资产组合情况</w:t>
      </w:r>
    </w:p>
    <w:tbl>
      <w:tblPr>
        <w:tblW w:w="88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38"/>
        <w:gridCol w:w="1843"/>
        <w:gridCol w:w="2976"/>
        <w:gridCol w:w="3261"/>
      </w:tblGrid>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lastRenderedPageBreak/>
              <w:t>序号</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95.98</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4.02</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7E163C">
        <w:tc>
          <w:tcPr>
            <w:tcW w:w="738" w:type="dxa"/>
            <w:vAlign w:val="bottom"/>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43"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2976"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61"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7E163C" w:rsidRDefault="007E163C">
      <w:pPr>
        <w:spacing w:before="240"/>
        <w:rPr>
          <w:rFonts w:ascii="方正仿宋简体" w:eastAsia="方正仿宋简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5.2 报告期末按公允价值占</w:t>
      </w:r>
      <w:r>
        <w:rPr>
          <w:rFonts w:ascii="方正仿宋简体" w:eastAsia="方正仿宋简体"/>
          <w:b/>
          <w:sz w:val="24"/>
          <w:szCs w:val="24"/>
        </w:rPr>
        <w:t>产品</w:t>
      </w:r>
      <w:r>
        <w:rPr>
          <w:rFonts w:ascii="方正仿宋简体" w:eastAsia="方正仿宋简体" w:hint="eastAsia"/>
          <w:b/>
          <w:sz w:val="24"/>
          <w:szCs w:val="24"/>
        </w:rPr>
        <w:t>资产净值比例大小排序的前十名资产投资明细</w:t>
      </w:r>
    </w:p>
    <w:tbl>
      <w:tblPr>
        <w:tblW w:w="8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2"/>
        <w:gridCol w:w="1728"/>
        <w:gridCol w:w="2690"/>
        <w:gridCol w:w="2035"/>
        <w:gridCol w:w="1765"/>
      </w:tblGrid>
      <w:tr w:rsidR="007E163C">
        <w:trPr>
          <w:trHeight w:val="870"/>
        </w:trPr>
        <w:tc>
          <w:tcPr>
            <w:tcW w:w="582"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28"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690"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3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公允价值(元)</w:t>
            </w:r>
          </w:p>
        </w:tc>
        <w:tc>
          <w:tcPr>
            <w:tcW w:w="176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ZJQTT202203100001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鑫元基金-鑫安利得62号集合资产管理计划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1,378,116,584.01</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63.91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ZJQTT202309150001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中粮信托-鼎兴6号集合资金信托计划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594,740,057.72</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27.58</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XJCKX202312190022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浦发银行南京分行活期存款</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121,000,000.00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5.61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ZJQTT202207200001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江苏信托鑫盈1号集合资金信托计划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31,932,927.41</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1.48</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ZJQTT202405170002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陆家嘴信托-陆享16号集合资金信托计划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25,839,056.07</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1.20</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XJCKX202302280001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工商银行南分活期存款</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459,301.76</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0.02</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XJCKX202212020001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农业银行活期存款</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421,203.06</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0.02</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XJCKX202405290001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农业银行杭州分行活期存款</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101.82</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0.00</w:t>
            </w:r>
          </w:p>
        </w:tc>
      </w:tr>
    </w:tbl>
    <w:p w:rsidR="007E163C" w:rsidRDefault="007E163C">
      <w:pPr>
        <w:spacing w:before="240"/>
        <w:rPr>
          <w:rFonts w:ascii="方正仿宋简体" w:eastAsia="方正仿宋简体" w:hAnsi="宋体" w:cs="宋体"/>
          <w:sz w:val="24"/>
          <w:szCs w:val="24"/>
          <w:shd w:val="clear" w:color="auto" w:fill="FFFFFF"/>
        </w:rPr>
      </w:pPr>
    </w:p>
    <w:p w:rsidR="007E163C" w:rsidRDefault="008D3CD9">
      <w:pPr>
        <w:spacing w:before="240"/>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lastRenderedPageBreak/>
        <w:t>5.3报告期末非标准化债权类资产明细</w:t>
      </w: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9"/>
        <w:gridCol w:w="1276"/>
        <w:gridCol w:w="1701"/>
        <w:gridCol w:w="1417"/>
        <w:gridCol w:w="1701"/>
        <w:gridCol w:w="1276"/>
        <w:gridCol w:w="851"/>
      </w:tblGrid>
      <w:tr w:rsidR="007E163C">
        <w:tc>
          <w:tcPr>
            <w:tcW w:w="709"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5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xsi:nil="true"/>
        <w:tc>
          <w:tcPr>
            <w:tcW w:w="709"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5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§6投资账户信息</w:t>
      </w:r>
    </w:p>
    <w:tbl>
      <w:tblPr>
        <w:tblW w:w="91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91"/>
        <w:gridCol w:w="2036"/>
        <w:gridCol w:w="2037"/>
        <w:gridCol w:w="2037"/>
        <w:gridCol w:w="2037"/>
      </w:tblGrid>
      <w:tr w:rsidR="007E163C">
        <w:trPr>
          <w:trHeight w:val="705"/>
        </w:trPr>
        <w:tc>
          <w:tcPr>
            <w:tcW w:w="99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203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trHeight w:val="364"/>
        </w:trPr>
        <w:tc>
          <w:tcPr>
            <w:tcW w:w="99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203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0101050000000860</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南京银行南京分行南银理财鼎瑞悦稳红利最低持有371天</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7E163C" w:rsidRDefault="007E163C">
      <w:pPr>
        <w:spacing w:before="240"/>
        <w:rPr>
          <w:rFonts w:ascii="方正仿宋简体" w:eastAsia="方正仿宋简体"/>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§7 关联交易情况</w:t>
      </w:r>
    </w:p>
    <w:p w:rsidR="007E163C" w:rsidRDefault="003A6E4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723532">
        <w:rPr>
          <w:rFonts w:ascii="方正仿宋简体" w:eastAsia="方正仿宋简体" w:hint="eastAsia"/>
          <w:b/>
          <w:sz w:val="24"/>
          <w:szCs w:val="24"/>
        </w:rPr>
        <w:t>.1</w:t>
      </w:r>
      <w:r w:rsidR="008D3CD9">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w:t>
            </w:r>
            <w:r>
              <w:rPr>
                <w:rFonts w:ascii="方正仿宋简体" w:eastAsia="方正仿宋简体" w:hint="eastAsia"/>
                <w:sz w:val="24"/>
                <w:szCs w:val="24"/>
              </w:rPr>
              <w:lastRenderedPageBreak/>
              <w:t>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总金额（单位：</w:t>
            </w:r>
            <w:r>
              <w:rPr>
                <w:rFonts w:ascii="方正仿宋简体" w:eastAsia="方正仿宋简体" w:hint="eastAsia"/>
                <w:sz w:val="24"/>
                <w:szCs w:val="24"/>
              </w:rPr>
              <w:lastRenderedPageBreak/>
              <w:t>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7E163C" w:rsidRDefault="0082392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405AE9">
        <w:rPr>
          <w:rFonts w:ascii="方正仿宋简体" w:eastAsia="方正仿宋简体" w:hint="eastAsia"/>
          <w:b/>
          <w:sz w:val="24"/>
          <w:szCs w:val="24"/>
        </w:rPr>
        <w:t>.</w:t>
      </w:r>
      <w:r w:rsidR="008D3CD9">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7E163C" w:rsidRDefault="004A761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C03FE9">
        <w:rPr>
          <w:rFonts w:ascii="方正仿宋简体" w:eastAsia="方正仿宋简体" w:hint="eastAsia"/>
          <w:b/>
          <w:sz w:val="24"/>
          <w:szCs w:val="24"/>
        </w:rPr>
        <w:t>.</w:t>
      </w:r>
      <w:r w:rsidR="008D3CD9">
        <w:rPr>
          <w:rFonts w:ascii="方正仿宋简体" w:eastAsia="方正仿宋简体" w:hint="eastAsia"/>
          <w:b/>
          <w:sz w:val="24"/>
          <w:szCs w:val="24"/>
        </w:rPr>
        <w:t>3产品投资于关联方发行的资产管理产品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鑫元基金-鑫安利得62号集合资产管理计划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ZJQTT202203100001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1537205826.94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1727000000.00</w:t>
            </w:r>
          </w:p>
        </w:tc>
      </w:tr>
    </w:tbl>
    <w:p w:rsidR="007E163C" w:rsidRDefault="00985A4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EC640C">
        <w:rPr>
          <w:rFonts w:ascii="方正仿宋简体" w:eastAsia="方正仿宋简体" w:hint="eastAsia"/>
          <w:b/>
          <w:sz w:val="24"/>
          <w:szCs w:val="24"/>
        </w:rPr>
        <w:t>.</w:t>
      </w:r>
      <w:r w:rsidR="008D3CD9">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7E163C">
        <w:trPr>
          <w:trHeight w:val="1048"/>
          <w:jc w:val="center"/>
        </w:trPr>
        <w:tc>
          <w:tcPr>
            <w:tcW w:w="87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日照银行股份有限公司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143425.94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809659.72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208527.67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7E163C" w:rsidRDefault="008D3CD9">
      <w:pPr>
        <w:spacing w:before="240"/>
        <w:jc w:val="right"/>
        <w:rPr>
          <w:rFonts w:ascii="方正仿宋简体" w:eastAsia="方正仿宋简体"/>
          <w:b/>
          <w:sz w:val="24"/>
          <w:szCs w:val="24"/>
        </w:rPr>
      </w:pPr>
      <w:r>
        <w:rPr>
          <w:rFonts w:ascii="方正仿宋简体" w:eastAsia="方正仿宋简体" w:hint="eastAsia"/>
          <w:b/>
          <w:sz w:val="24"/>
          <w:szCs w:val="24"/>
        </w:rPr>
        <w:t>2025年12月31日</w:t>
      </w:r>
    </w:p>
    <w:sectPr w:rsidR="007E163C" w:rsidSect="007E163C">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74C" w:rsidRDefault="00E0174C" w:rsidP="007E163C">
      <w:r>
        <w:separator/>
      </w:r>
    </w:p>
  </w:endnote>
  <w:endnote w:type="continuationSeparator" w:id="1">
    <w:p w:rsidR="00E0174C" w:rsidRDefault="00E0174C" w:rsidP="007E1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A42D4B">
    <w:pPr>
      <w:pStyle w:val="a5"/>
      <w:framePr w:wrap="around" w:vAnchor="text" w:hAnchor="margin" w:xAlign="center" w:y="1"/>
      <w:rPr>
        <w:rStyle w:val="aa"/>
      </w:rPr>
    </w:pPr>
    <w:r>
      <w:fldChar w:fldCharType="begin"/>
    </w:r>
    <w:r w:rsidR="008D3CD9">
      <w:rPr>
        <w:rStyle w:val="aa"/>
      </w:rPr>
      <w:instrText xml:space="preserve">PAGE  </w:instrText>
    </w:r>
    <w:r>
      <w:fldChar w:fldCharType="end"/>
    </w:r>
  </w:p>
  <w:p w:rsidR="007E163C" w:rsidRDefault="007E16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74C" w:rsidRDefault="00E0174C" w:rsidP="007E163C">
      <w:r>
        <w:separator/>
      </w:r>
    </w:p>
  </w:footnote>
  <w:footnote w:type="continuationSeparator" w:id="1">
    <w:p w:rsidR="00E0174C" w:rsidRDefault="00E0174C" w:rsidP="007E1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172A27"/>
    <w:rsid w:val="000020F7"/>
    <w:rsid w:val="000060E5"/>
    <w:rsid w:val="0001734B"/>
    <w:rsid w:val="000234FF"/>
    <w:rsid w:val="00026D52"/>
    <w:rsid w:val="000318AA"/>
    <w:rsid w:val="00034FF6"/>
    <w:rsid w:val="00044BFF"/>
    <w:rsid w:val="000470C2"/>
    <w:rsid w:val="0005474A"/>
    <w:rsid w:val="00061725"/>
    <w:rsid w:val="00082D5F"/>
    <w:rsid w:val="00095B95"/>
    <w:rsid w:val="000A3711"/>
    <w:rsid w:val="000D5066"/>
    <w:rsid w:val="000E3A08"/>
    <w:rsid w:val="000E6ACE"/>
    <w:rsid w:val="000F6191"/>
    <w:rsid w:val="001279EA"/>
    <w:rsid w:val="00130CE8"/>
    <w:rsid w:val="0014449D"/>
    <w:rsid w:val="00152201"/>
    <w:rsid w:val="00172A27"/>
    <w:rsid w:val="001735BA"/>
    <w:rsid w:val="00176636"/>
    <w:rsid w:val="00183C84"/>
    <w:rsid w:val="001B497D"/>
    <w:rsid w:val="001C05F9"/>
    <w:rsid w:val="001C5395"/>
    <w:rsid w:val="001E2EEA"/>
    <w:rsid w:val="001E5905"/>
    <w:rsid w:val="001E7120"/>
    <w:rsid w:val="00211F26"/>
    <w:rsid w:val="00224D9D"/>
    <w:rsid w:val="002263FC"/>
    <w:rsid w:val="002448E3"/>
    <w:rsid w:val="00247A0A"/>
    <w:rsid w:val="0026638C"/>
    <w:rsid w:val="00295E85"/>
    <w:rsid w:val="002A3AE9"/>
    <w:rsid w:val="002C196E"/>
    <w:rsid w:val="002C4810"/>
    <w:rsid w:val="002C555A"/>
    <w:rsid w:val="002D2DB0"/>
    <w:rsid w:val="002D6D6F"/>
    <w:rsid w:val="002D75D0"/>
    <w:rsid w:val="002E7131"/>
    <w:rsid w:val="002E795C"/>
    <w:rsid w:val="003041BA"/>
    <w:rsid w:val="00305714"/>
    <w:rsid w:val="00313E71"/>
    <w:rsid w:val="00321CB7"/>
    <w:rsid w:val="003379A9"/>
    <w:rsid w:val="00350ADF"/>
    <w:rsid w:val="00355623"/>
    <w:rsid w:val="00387F9B"/>
    <w:rsid w:val="00392C61"/>
    <w:rsid w:val="003A0419"/>
    <w:rsid w:val="003A6E48"/>
    <w:rsid w:val="003B7361"/>
    <w:rsid w:val="003C4D3B"/>
    <w:rsid w:val="003D4B6E"/>
    <w:rsid w:val="003E09EA"/>
    <w:rsid w:val="003E412C"/>
    <w:rsid w:val="003F0AC3"/>
    <w:rsid w:val="003F38EF"/>
    <w:rsid w:val="00405AE9"/>
    <w:rsid w:val="00456251"/>
    <w:rsid w:val="00492870"/>
    <w:rsid w:val="004A2DC3"/>
    <w:rsid w:val="004A761B"/>
    <w:rsid w:val="004B3B60"/>
    <w:rsid w:val="004B5DED"/>
    <w:rsid w:val="004C1607"/>
    <w:rsid w:val="004E621E"/>
    <w:rsid w:val="004F2359"/>
    <w:rsid w:val="004F313C"/>
    <w:rsid w:val="00500DE2"/>
    <w:rsid w:val="005069D8"/>
    <w:rsid w:val="0051077F"/>
    <w:rsid w:val="00521B27"/>
    <w:rsid w:val="00522858"/>
    <w:rsid w:val="0055440C"/>
    <w:rsid w:val="0056130A"/>
    <w:rsid w:val="0056162E"/>
    <w:rsid w:val="00563B93"/>
    <w:rsid w:val="00567DB3"/>
    <w:rsid w:val="00581E78"/>
    <w:rsid w:val="00594CF2"/>
    <w:rsid w:val="00595354"/>
    <w:rsid w:val="005B3434"/>
    <w:rsid w:val="005B3C9E"/>
    <w:rsid w:val="005B5092"/>
    <w:rsid w:val="005B7384"/>
    <w:rsid w:val="005D5ED6"/>
    <w:rsid w:val="005E0686"/>
    <w:rsid w:val="005E2884"/>
    <w:rsid w:val="005E40C5"/>
    <w:rsid w:val="005E5050"/>
    <w:rsid w:val="005F2C7B"/>
    <w:rsid w:val="005F43AF"/>
    <w:rsid w:val="005F4D04"/>
    <w:rsid w:val="005F7DA9"/>
    <w:rsid w:val="006054F8"/>
    <w:rsid w:val="0065419A"/>
    <w:rsid w:val="00654220"/>
    <w:rsid w:val="00663B94"/>
    <w:rsid w:val="00677F66"/>
    <w:rsid w:val="00691C4B"/>
    <w:rsid w:val="006A77A0"/>
    <w:rsid w:val="006B63CE"/>
    <w:rsid w:val="006C1014"/>
    <w:rsid w:val="006E0CC3"/>
    <w:rsid w:val="006E4E94"/>
    <w:rsid w:val="006F26CF"/>
    <w:rsid w:val="006F69B2"/>
    <w:rsid w:val="007017D8"/>
    <w:rsid w:val="00723532"/>
    <w:rsid w:val="00730BEE"/>
    <w:rsid w:val="0073101E"/>
    <w:rsid w:val="00735153"/>
    <w:rsid w:val="00741E97"/>
    <w:rsid w:val="00745421"/>
    <w:rsid w:val="00745F96"/>
    <w:rsid w:val="00774E0A"/>
    <w:rsid w:val="00782F29"/>
    <w:rsid w:val="007A4219"/>
    <w:rsid w:val="007B08DF"/>
    <w:rsid w:val="007E0B6E"/>
    <w:rsid w:val="007E163C"/>
    <w:rsid w:val="007E4637"/>
    <w:rsid w:val="00800690"/>
    <w:rsid w:val="0080200C"/>
    <w:rsid w:val="00814110"/>
    <w:rsid w:val="00823928"/>
    <w:rsid w:val="0082561A"/>
    <w:rsid w:val="00846B2E"/>
    <w:rsid w:val="0085663C"/>
    <w:rsid w:val="00870717"/>
    <w:rsid w:val="008768AB"/>
    <w:rsid w:val="008870FD"/>
    <w:rsid w:val="008904CC"/>
    <w:rsid w:val="008926F7"/>
    <w:rsid w:val="008A7510"/>
    <w:rsid w:val="008C78BD"/>
    <w:rsid w:val="008D3CD9"/>
    <w:rsid w:val="008D57C5"/>
    <w:rsid w:val="008F099C"/>
    <w:rsid w:val="008F0FA3"/>
    <w:rsid w:val="00900D90"/>
    <w:rsid w:val="00902630"/>
    <w:rsid w:val="00931BD2"/>
    <w:rsid w:val="009354D6"/>
    <w:rsid w:val="00956754"/>
    <w:rsid w:val="009679B0"/>
    <w:rsid w:val="00970A98"/>
    <w:rsid w:val="00977E89"/>
    <w:rsid w:val="00985A4B"/>
    <w:rsid w:val="00994F2E"/>
    <w:rsid w:val="009A4E79"/>
    <w:rsid w:val="009B1695"/>
    <w:rsid w:val="009B2EEF"/>
    <w:rsid w:val="009C4574"/>
    <w:rsid w:val="009C6A99"/>
    <w:rsid w:val="009C781F"/>
    <w:rsid w:val="009D5296"/>
    <w:rsid w:val="009E6170"/>
    <w:rsid w:val="009F1FD4"/>
    <w:rsid w:val="009F4338"/>
    <w:rsid w:val="009F6D0D"/>
    <w:rsid w:val="00A204A0"/>
    <w:rsid w:val="00A42D4B"/>
    <w:rsid w:val="00A4484F"/>
    <w:rsid w:val="00A61A43"/>
    <w:rsid w:val="00A66D8E"/>
    <w:rsid w:val="00A76D4B"/>
    <w:rsid w:val="00A77C47"/>
    <w:rsid w:val="00A9119C"/>
    <w:rsid w:val="00A94A56"/>
    <w:rsid w:val="00AA4549"/>
    <w:rsid w:val="00AA4D99"/>
    <w:rsid w:val="00AA5B04"/>
    <w:rsid w:val="00AC5144"/>
    <w:rsid w:val="00B13014"/>
    <w:rsid w:val="00B17559"/>
    <w:rsid w:val="00B23E1D"/>
    <w:rsid w:val="00B33978"/>
    <w:rsid w:val="00B33B19"/>
    <w:rsid w:val="00B404E6"/>
    <w:rsid w:val="00B4360D"/>
    <w:rsid w:val="00B43E89"/>
    <w:rsid w:val="00B61EA9"/>
    <w:rsid w:val="00B670D1"/>
    <w:rsid w:val="00B74DCA"/>
    <w:rsid w:val="00B90CE8"/>
    <w:rsid w:val="00BC3903"/>
    <w:rsid w:val="00BD0A6A"/>
    <w:rsid w:val="00BE47E0"/>
    <w:rsid w:val="00BF3D9D"/>
    <w:rsid w:val="00BF75C8"/>
    <w:rsid w:val="00C03FE9"/>
    <w:rsid w:val="00C1762E"/>
    <w:rsid w:val="00C20F36"/>
    <w:rsid w:val="00C25123"/>
    <w:rsid w:val="00C2582A"/>
    <w:rsid w:val="00C30A48"/>
    <w:rsid w:val="00C375A7"/>
    <w:rsid w:val="00C44DFE"/>
    <w:rsid w:val="00C62DF8"/>
    <w:rsid w:val="00C640FB"/>
    <w:rsid w:val="00C86023"/>
    <w:rsid w:val="00C935FD"/>
    <w:rsid w:val="00C94EBA"/>
    <w:rsid w:val="00CB054E"/>
    <w:rsid w:val="00CB417C"/>
    <w:rsid w:val="00CC52D7"/>
    <w:rsid w:val="00CE4DED"/>
    <w:rsid w:val="00CF3BBF"/>
    <w:rsid w:val="00D15B21"/>
    <w:rsid w:val="00D23AB6"/>
    <w:rsid w:val="00D50309"/>
    <w:rsid w:val="00D51AA9"/>
    <w:rsid w:val="00D7264A"/>
    <w:rsid w:val="00D84E43"/>
    <w:rsid w:val="00D870DF"/>
    <w:rsid w:val="00DA30A0"/>
    <w:rsid w:val="00DB0C2F"/>
    <w:rsid w:val="00DB2A0F"/>
    <w:rsid w:val="00DB3BF6"/>
    <w:rsid w:val="00DB56A2"/>
    <w:rsid w:val="00DC31CC"/>
    <w:rsid w:val="00DC728A"/>
    <w:rsid w:val="00DD2F3C"/>
    <w:rsid w:val="00DD4E8C"/>
    <w:rsid w:val="00DD65B5"/>
    <w:rsid w:val="00DF6907"/>
    <w:rsid w:val="00E0174C"/>
    <w:rsid w:val="00E1059D"/>
    <w:rsid w:val="00E155DF"/>
    <w:rsid w:val="00E15FF4"/>
    <w:rsid w:val="00E246E1"/>
    <w:rsid w:val="00E314CE"/>
    <w:rsid w:val="00E41EA0"/>
    <w:rsid w:val="00E514EB"/>
    <w:rsid w:val="00E52823"/>
    <w:rsid w:val="00E52B10"/>
    <w:rsid w:val="00E600D0"/>
    <w:rsid w:val="00E7192D"/>
    <w:rsid w:val="00E82AB5"/>
    <w:rsid w:val="00E944FA"/>
    <w:rsid w:val="00E9797A"/>
    <w:rsid w:val="00EB0DB4"/>
    <w:rsid w:val="00EC640C"/>
    <w:rsid w:val="00EE0436"/>
    <w:rsid w:val="00EF0A98"/>
    <w:rsid w:val="00F41324"/>
    <w:rsid w:val="00F57C12"/>
    <w:rsid w:val="00F609FD"/>
    <w:rsid w:val="00F64BD9"/>
    <w:rsid w:val="00F7052D"/>
    <w:rsid w:val="00F771E3"/>
    <w:rsid w:val="00F8162C"/>
    <w:rsid w:val="00F82713"/>
    <w:rsid w:val="00F84F36"/>
    <w:rsid w:val="00F859AB"/>
    <w:rsid w:val="00F907A7"/>
    <w:rsid w:val="00F950D0"/>
    <w:rsid w:val="00FA0110"/>
    <w:rsid w:val="00FA2C26"/>
    <w:rsid w:val="00FD1F12"/>
    <w:rsid w:val="00FD412B"/>
    <w:rsid w:val="00FF26C8"/>
    <w:rsid w:val="016D581F"/>
    <w:rsid w:val="030F2BA7"/>
    <w:rsid w:val="04240CEE"/>
    <w:rsid w:val="065551D3"/>
    <w:rsid w:val="06C37561"/>
    <w:rsid w:val="0A236A5A"/>
    <w:rsid w:val="10992483"/>
    <w:rsid w:val="111D4539"/>
    <w:rsid w:val="13297F9C"/>
    <w:rsid w:val="134727C6"/>
    <w:rsid w:val="141A5102"/>
    <w:rsid w:val="159E25E1"/>
    <w:rsid w:val="15FE575C"/>
    <w:rsid w:val="1ADC05C7"/>
    <w:rsid w:val="1E911FB2"/>
    <w:rsid w:val="20F325AF"/>
    <w:rsid w:val="216F6F5C"/>
    <w:rsid w:val="22D04645"/>
    <w:rsid w:val="22E23E75"/>
    <w:rsid w:val="2555668E"/>
    <w:rsid w:val="25AF3A81"/>
    <w:rsid w:val="26FD4196"/>
    <w:rsid w:val="28CD1EA7"/>
    <w:rsid w:val="29F7636C"/>
    <w:rsid w:val="2A2232BA"/>
    <w:rsid w:val="32955A2A"/>
    <w:rsid w:val="32AE1BB2"/>
    <w:rsid w:val="35105304"/>
    <w:rsid w:val="36341C31"/>
    <w:rsid w:val="368076E6"/>
    <w:rsid w:val="378F5AE0"/>
    <w:rsid w:val="37F709A6"/>
    <w:rsid w:val="38980A6C"/>
    <w:rsid w:val="39E872E9"/>
    <w:rsid w:val="3ABE1FB8"/>
    <w:rsid w:val="3C753CC7"/>
    <w:rsid w:val="3F2C3B54"/>
    <w:rsid w:val="40990310"/>
    <w:rsid w:val="459870AF"/>
    <w:rsid w:val="45ED49CE"/>
    <w:rsid w:val="46F0109E"/>
    <w:rsid w:val="47475A63"/>
    <w:rsid w:val="4E276A76"/>
    <w:rsid w:val="509017BA"/>
    <w:rsid w:val="51482FC3"/>
    <w:rsid w:val="51C55614"/>
    <w:rsid w:val="52830253"/>
    <w:rsid w:val="541C469D"/>
    <w:rsid w:val="5BE61B5E"/>
    <w:rsid w:val="5F8D2B89"/>
    <w:rsid w:val="602D020F"/>
    <w:rsid w:val="64C67B5C"/>
    <w:rsid w:val="66B51B39"/>
    <w:rsid w:val="66F47EBC"/>
    <w:rsid w:val="681903E9"/>
    <w:rsid w:val="68823415"/>
    <w:rsid w:val="6898111C"/>
    <w:rsid w:val="6A485270"/>
    <w:rsid w:val="6D05415D"/>
    <w:rsid w:val="6F66394D"/>
    <w:rsid w:val="73193673"/>
    <w:rsid w:val="74543F24"/>
    <w:rsid w:val="74BE328D"/>
    <w:rsid w:val="75523113"/>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E163C"/>
    <w:pPr>
      <w:jc w:val="left"/>
    </w:pPr>
  </w:style>
  <w:style w:type="paragraph" w:styleId="a4">
    <w:name w:val="Balloon Text"/>
    <w:basedOn w:val="a"/>
    <w:link w:val="Char0"/>
    <w:uiPriority w:val="99"/>
    <w:unhideWhenUsed/>
    <w:qFormat/>
    <w:rsid w:val="007E163C"/>
    <w:rPr>
      <w:sz w:val="18"/>
      <w:szCs w:val="18"/>
    </w:rPr>
  </w:style>
  <w:style w:type="paragraph" w:styleId="a5">
    <w:name w:val="footer"/>
    <w:basedOn w:val="a"/>
    <w:link w:val="Char1"/>
    <w:uiPriority w:val="99"/>
    <w:unhideWhenUsed/>
    <w:qFormat/>
    <w:rsid w:val="007E16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E163C"/>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7E163C"/>
    <w:pPr>
      <w:snapToGrid w:val="0"/>
      <w:jc w:val="left"/>
    </w:pPr>
    <w:rPr>
      <w:sz w:val="18"/>
    </w:rPr>
  </w:style>
  <w:style w:type="paragraph" w:styleId="a8">
    <w:name w:val="Normal (Web)"/>
    <w:basedOn w:val="a"/>
    <w:qFormat/>
    <w:rsid w:val="007E163C"/>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7E163C"/>
    <w:rPr>
      <w:b/>
      <w:bCs/>
    </w:rPr>
  </w:style>
  <w:style w:type="character" w:styleId="aa">
    <w:name w:val="page number"/>
    <w:basedOn w:val="a0"/>
    <w:uiPriority w:val="99"/>
    <w:unhideWhenUsed/>
    <w:qFormat/>
    <w:rsid w:val="007E163C"/>
  </w:style>
  <w:style w:type="character" w:styleId="ab">
    <w:name w:val="annotation reference"/>
    <w:uiPriority w:val="99"/>
    <w:unhideWhenUsed/>
    <w:qFormat/>
    <w:rsid w:val="007E163C"/>
    <w:rPr>
      <w:sz w:val="21"/>
      <w:szCs w:val="21"/>
    </w:rPr>
  </w:style>
  <w:style w:type="character" w:styleId="ac">
    <w:name w:val="footnote reference"/>
    <w:uiPriority w:val="99"/>
    <w:unhideWhenUsed/>
    <w:qFormat/>
    <w:rsid w:val="007E163C"/>
    <w:rPr>
      <w:vertAlign w:val="superscript"/>
    </w:rPr>
  </w:style>
  <w:style w:type="character" w:customStyle="1" w:styleId="Char0">
    <w:name w:val="批注框文本 Char"/>
    <w:link w:val="a4"/>
    <w:uiPriority w:val="99"/>
    <w:semiHidden/>
    <w:qFormat/>
    <w:rsid w:val="007E163C"/>
    <w:rPr>
      <w:kern w:val="2"/>
      <w:sz w:val="18"/>
      <w:szCs w:val="18"/>
    </w:rPr>
  </w:style>
  <w:style w:type="character" w:customStyle="1" w:styleId="Char2">
    <w:name w:val="页眉 Char"/>
    <w:link w:val="a6"/>
    <w:uiPriority w:val="99"/>
    <w:semiHidden/>
    <w:qFormat/>
    <w:locked/>
    <w:rsid w:val="007E163C"/>
    <w:rPr>
      <w:rFonts w:ascii="Times New Roman" w:hAnsi="Times New Roman" w:cs="Times New Roman" w:hint="default"/>
      <w:sz w:val="18"/>
      <w:szCs w:val="18"/>
    </w:rPr>
  </w:style>
  <w:style w:type="character" w:customStyle="1" w:styleId="Char3">
    <w:name w:val="批注主题 Char"/>
    <w:link w:val="a9"/>
    <w:uiPriority w:val="99"/>
    <w:semiHidden/>
    <w:qFormat/>
    <w:rsid w:val="007E163C"/>
    <w:rPr>
      <w:b/>
      <w:bCs/>
      <w:kern w:val="2"/>
      <w:sz w:val="21"/>
      <w:szCs w:val="22"/>
    </w:rPr>
  </w:style>
  <w:style w:type="character" w:customStyle="1" w:styleId="Char1">
    <w:name w:val="页脚 Char"/>
    <w:link w:val="a5"/>
    <w:uiPriority w:val="99"/>
    <w:semiHidden/>
    <w:qFormat/>
    <w:locked/>
    <w:rsid w:val="007E163C"/>
    <w:rPr>
      <w:rFonts w:ascii="Times New Roman" w:hAnsi="Times New Roman" w:cs="Times New Roman" w:hint="default"/>
      <w:sz w:val="18"/>
      <w:szCs w:val="18"/>
    </w:rPr>
  </w:style>
  <w:style w:type="character" w:customStyle="1" w:styleId="Char">
    <w:name w:val="批注文字 Char"/>
    <w:link w:val="a3"/>
    <w:uiPriority w:val="99"/>
    <w:qFormat/>
    <w:rsid w:val="007E163C"/>
    <w:rPr>
      <w:kern w:val="2"/>
      <w:sz w:val="21"/>
      <w:szCs w:val="22"/>
    </w:rPr>
  </w:style>
  <w:style w:type="paragraph" w:customStyle="1" w:styleId="zhongyaotishi">
    <w:name w:val="zhongyaotishi"/>
    <w:basedOn w:val="a"/>
    <w:qFormat/>
    <w:rsid w:val="007E163C"/>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7E163C"/>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7E163C"/>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7E163C"/>
    <w:pPr>
      <w:widowControl w:val="0"/>
      <w:jc w:val="center"/>
    </w:pPr>
    <w:rPr>
      <w:kern w:val="2"/>
      <w:sz w:val="33"/>
      <w:szCs w:val="22"/>
    </w:rPr>
  </w:style>
  <w:style w:type="paragraph" w:customStyle="1" w:styleId="biaogeleft">
    <w:name w:val="biaoge_left"/>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7E163C"/>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7E163C"/>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7E163C"/>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7E163C"/>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7E163C"/>
    <w:pPr>
      <w:widowControl w:val="0"/>
    </w:pPr>
    <w:rPr>
      <w:kern w:val="2"/>
      <w:sz w:val="21"/>
      <w:szCs w:val="22"/>
    </w:rPr>
  </w:style>
  <w:style w:type="paragraph" w:customStyle="1" w:styleId="neirong">
    <w:name w:val="neirong"/>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7E163C"/>
    <w:pPr>
      <w:jc w:val="both"/>
    </w:pPr>
    <w:rPr>
      <w:kern w:val="2"/>
      <w:sz w:val="21"/>
      <w:szCs w:val="21"/>
    </w:rPr>
  </w:style>
  <w:style w:type="paragraph" w:customStyle="1" w:styleId="Default">
    <w:name w:val="Default"/>
    <w:qFormat/>
    <w:rsid w:val="007E163C"/>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2022-07-26T07:21:00Z</dcterms:created>
  <dc:creator>总行金融市场部本币投资交易部梅浩超</dc:creator>
  <cp:lastModifiedBy>yytx</cp:lastModifiedBy>
  <cp:lastPrinted>2019-09-11T00:56:00Z</cp:lastPrinted>
  <dcterms:modified xsi:type="dcterms:W3CDTF">2026-03-27T09:11:00Z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E985CFFC20A84641A474BCD722FC7BF1</vt:lpwstr>
  </property>
</Properties>
</file>