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A40" w:rsidRDefault="004D0A40" w:rsidP="00F87FA0">
      <w:pPr>
        <w:spacing w:before="240" w:afterLines="30" w:line="360" w:lineRule="auto"/>
        <w:jc w:val="center"/>
      </w:pPr>
    </w:p>
    <w:p w:rsidR="004D0A40" w:rsidRDefault="004D0A40" w:rsidP="00F87FA0">
      <w:pPr>
        <w:spacing w:before="240" w:afterLines="30" w:line="360" w:lineRule="auto"/>
        <w:jc w:val="center"/>
      </w:pPr>
    </w:p>
    <w:p w:rsidR="004D0A40" w:rsidRDefault="004D0A40" w:rsidP="00F87FA0">
      <w:pPr>
        <w:spacing w:before="240" w:afterLines="30" w:line="360" w:lineRule="auto"/>
        <w:jc w:val="center"/>
      </w:pPr>
    </w:p>
    <w:p w:rsidR="004D0A40" w:rsidRDefault="00B75FAA" w:rsidP="00F87FA0">
      <w:pPr>
        <w:spacing w:before="240" w:afterLines="30" w:line="360" w:lineRule="auto"/>
        <w:jc w:val="center"/>
        <w:rPr>
          <w:rFonts w:ascii="方正黑体简体" w:eastAsia="方正黑体简体"/>
          <w:sz w:val="36"/>
        </w:rPr>
      </w:pPr>
      <w:r>
        <w:rPr>
          <w:rFonts w:ascii="方正黑体简体" w:eastAsia="方正黑体简体"/>
          <w:sz w:val="36"/>
        </w:rPr>
        <w:t>南银理财鼎瑞悦稳（最低持有7天）3号公募人民币理财产品</w:t>
      </w:r>
    </w:p>
    <w:p w:rsidR="004D0A40" w:rsidRDefault="00B75FAA" w:rsidP="00F87FA0">
      <w:pPr>
        <w:spacing w:before="240" w:afterLines="30" w:line="360" w:lineRule="auto"/>
        <w:jc w:val="center"/>
        <w:rPr>
          <w:rFonts w:ascii="方正黑体简体" w:eastAsia="方正黑体简体" w:hAnsi="黑体"/>
          <w:sz w:val="36"/>
        </w:rPr>
      </w:pPr>
      <w:r>
        <w:rPr>
          <w:rFonts w:ascii="方正黑体简体" w:eastAsia="方正黑体简体" w:hAnsi="黑体"/>
          <w:sz w:val="36"/>
        </w:rPr>
        <w:t>2025</w:t>
      </w:r>
      <w:r>
        <w:rPr>
          <w:rFonts w:ascii="方正黑体简体" w:eastAsia="方正黑体简体" w:hAnsi="黑体"/>
          <w:sz w:val="36"/>
        </w:rPr>
        <w:t>年</w:t>
      </w:r>
      <w:r>
        <w:rPr>
          <w:rFonts w:ascii="方正黑体简体" w:eastAsia="方正黑体简体" w:hAnsi="Calibri" w:hint="eastAsia"/>
          <w:sz w:val="36"/>
        </w:rPr>
        <w:t>年度</w:t>
      </w:r>
      <w:r>
        <w:rPr>
          <w:rFonts w:ascii="方正黑体简体" w:eastAsia="方正黑体简体" w:hAnsi="黑体"/>
          <w:sz w:val="36"/>
        </w:rPr>
        <w:t>报告</w:t>
      </w:r>
    </w:p>
    <w:p w:rsidR="004D0A40" w:rsidRDefault="004D0A40" w:rsidP="00F87FA0">
      <w:pPr>
        <w:spacing w:before="240" w:afterLines="30" w:line="360" w:lineRule="auto"/>
        <w:jc w:val="center"/>
        <w:rPr>
          <w:rFonts w:ascii="黑体" w:eastAsia="黑体" w:hAnsi="黑体"/>
          <w:sz w:val="36"/>
        </w:rPr>
      </w:pPr>
    </w:p>
    <w:p w:rsidR="004D0A40" w:rsidRDefault="004D0A40" w:rsidP="00F87FA0">
      <w:pPr>
        <w:spacing w:before="240" w:afterLines="30" w:line="360" w:lineRule="auto"/>
        <w:jc w:val="center"/>
        <w:rPr>
          <w:rFonts w:ascii="黑体" w:eastAsia="黑体" w:hAnsi="黑体"/>
          <w:sz w:val="36"/>
        </w:rPr>
      </w:pPr>
    </w:p>
    <w:p w:rsidR="004D0A40" w:rsidRDefault="004D0A40" w:rsidP="00F87FA0">
      <w:pPr>
        <w:spacing w:before="240" w:afterLines="30" w:line="360" w:lineRule="auto"/>
        <w:jc w:val="center"/>
        <w:rPr>
          <w:rFonts w:ascii="黑体" w:eastAsia="黑体" w:hAnsi="黑体"/>
          <w:sz w:val="36"/>
        </w:rPr>
      </w:pPr>
    </w:p>
    <w:p w:rsidR="004D0A40" w:rsidRDefault="004D0A40" w:rsidP="00F87FA0">
      <w:pPr>
        <w:spacing w:before="240" w:afterLines="30" w:line="360" w:lineRule="auto"/>
        <w:jc w:val="center"/>
        <w:rPr>
          <w:rFonts w:ascii="黑体" w:eastAsia="黑体" w:hAnsi="黑体"/>
          <w:sz w:val="36"/>
        </w:rPr>
      </w:pPr>
    </w:p>
    <w:p w:rsidR="004D0A40" w:rsidRDefault="004D0A40" w:rsidP="00F87FA0">
      <w:pPr>
        <w:spacing w:before="240" w:afterLines="30" w:line="360" w:lineRule="auto"/>
        <w:jc w:val="center"/>
        <w:rPr>
          <w:rFonts w:ascii="黑体" w:eastAsia="黑体" w:hAnsi="黑体"/>
          <w:sz w:val="36"/>
        </w:rPr>
      </w:pPr>
    </w:p>
    <w:p w:rsidR="004D0A40" w:rsidRDefault="004D0A40" w:rsidP="00F87FA0">
      <w:pPr>
        <w:spacing w:before="240" w:afterLines="30" w:line="360" w:lineRule="auto"/>
        <w:jc w:val="center"/>
        <w:rPr>
          <w:rFonts w:ascii="黑体" w:eastAsia="黑体" w:hAnsi="黑体"/>
          <w:sz w:val="36"/>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4D0A40" w:rsidRDefault="00B75FAA">
      <w:pPr>
        <w:widowControl/>
        <w:jc w:val="left"/>
        <w:rPr>
          <w:rFonts w:ascii="方正仿宋简体" w:eastAsia="方正仿宋简体"/>
          <w:sz w:val="24"/>
          <w:szCs w:val="24"/>
        </w:rPr>
      </w:pPr>
      <w:r>
        <w:rPr>
          <w:rFonts w:ascii="方正仿宋简体" w:eastAsia="方正仿宋简体"/>
          <w:sz w:val="24"/>
          <w:szCs w:val="24"/>
        </w:rPr>
        <w:br w:type="page"/>
      </w:r>
    </w:p>
    <w:p w:rsidR="004D0A40" w:rsidRDefault="00B75FAA" w:rsidP="00F87FA0">
      <w:pPr>
        <w:spacing w:before="240" w:afterLines="30" w:line="360" w:lineRule="auto"/>
        <w:jc w:val="center"/>
        <w:rPr>
          <w:rFonts w:ascii="方正仿宋简体" w:eastAsia="方正仿宋简体"/>
          <w:sz w:val="24"/>
          <w:szCs w:val="24"/>
        </w:rPr>
      </w:pPr>
      <w:r>
        <w:rPr>
          <w:rFonts w:ascii="方正仿宋简体" w:eastAsia="方正仿宋简体" w:hAnsi="Calibri" w:hint="eastAsia"/>
          <w:b/>
          <w:sz w:val="24"/>
          <w:szCs w:val="24"/>
        </w:rPr>
        <w:lastRenderedPageBreak/>
        <w:t>§</w:t>
      </w:r>
      <w:r>
        <w:rPr>
          <w:rFonts w:ascii="方正仿宋简体" w:eastAsia="方正仿宋简体" w:hAnsi="Calibri" w:hint="eastAsia"/>
          <w:b/>
          <w:sz w:val="24"/>
          <w:szCs w:val="24"/>
        </w:rPr>
        <w:t xml:space="preserve">1 </w:t>
      </w:r>
      <w:r>
        <w:rPr>
          <w:rFonts w:ascii="方正仿宋简体" w:eastAsia="方正仿宋简体" w:hAnsi="Calibri" w:hint="eastAsia"/>
          <w:b/>
          <w:sz w:val="24"/>
          <w:szCs w:val="24"/>
        </w:rPr>
        <w:t>产品概况</w:t>
      </w:r>
    </w:p>
    <w:tbl>
      <w:tblPr>
        <w:tblW w:w="890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24"/>
        <w:gridCol w:w="6178"/>
      </w:tblGrid>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南银理财鼎瑞悦稳（最低持有7天）3号公募人民币理财产品</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Z7003224000047</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2024年02月02日</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2,995,388,679.24</w:t>
            </w:r>
            <w:r>
              <w:rPr>
                <w:rFonts w:ascii="方正仿宋简体" w:eastAsia="方正仿宋简体" w:hint="eastAsia"/>
                <w:sz w:val="24"/>
                <w:szCs w:val="24"/>
              </w:rPr>
              <w:t>份</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报告期末产品杠杆水平</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sz w:val="24"/>
                <w:szCs w:val="24"/>
              </w:rPr>
              <w:t>101.62%</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中粮信托有限责任公司,华泰资产管理有限公司,国投泰康信托有限公司,紫金信托有限责任公司,陆家嘴国际信托有限公司,建信保险资产管理有限公司,太平洋资产管理有限责任公司</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4D0A40" w:rsidRDefault="004D0A40" w:rsidP="00F87FA0">
      <w:pPr>
        <w:spacing w:before="240" w:afterLines="30" w:line="360" w:lineRule="auto"/>
        <w:rPr>
          <w:rFonts w:ascii="方正仿宋简体" w:eastAsia="方正仿宋简体" w:hAnsi="Calibri"/>
          <w:sz w:val="24"/>
          <w:szCs w:val="24"/>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w:t>
      </w:r>
      <w:r>
        <w:rPr>
          <w:rFonts w:ascii="方正仿宋简体" w:eastAsia="方正仿宋简体" w:hAnsi="Calibri" w:hint="eastAsia"/>
          <w:b/>
          <w:sz w:val="24"/>
          <w:szCs w:val="24"/>
        </w:rPr>
        <w:t xml:space="preserve">2  </w:t>
      </w:r>
      <w:r>
        <w:rPr>
          <w:rFonts w:ascii="方正仿宋简体" w:eastAsia="方正仿宋简体" w:hAnsi="Calibri" w:hint="eastAsia"/>
          <w:b/>
          <w:sz w:val="24"/>
          <w:szCs w:val="24"/>
        </w:rPr>
        <w:t>主要财务指标</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4D0A40" w:rsidRDefault="00B75FAA" w:rsidP="00F87FA0">
      <w:pPr>
        <w:spacing w:before="240" w:afterLines="30" w:line="360" w:lineRule="auto"/>
        <w:jc w:val="right"/>
        <w:rPr>
          <w:rFonts w:ascii="方正仿宋简体" w:eastAsia="方正仿宋简体" w:cs="宋体"/>
          <w:kern w:val="0"/>
          <w:sz w:val="24"/>
          <w:szCs w:val="24"/>
        </w:rPr>
      </w:pPr>
      <w:r>
        <w:rPr>
          <w:rFonts w:ascii="方正仿宋简体" w:eastAsia="方正仿宋简体" w:cs="宋体" w:hint="eastAsia"/>
          <w:kern w:val="0"/>
          <w:sz w:val="24"/>
          <w:szCs w:val="24"/>
        </w:rPr>
        <w:t>单位：人民币元</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413"/>
        <w:gridCol w:w="2268"/>
        <w:gridCol w:w="1701"/>
        <w:gridCol w:w="2126"/>
        <w:gridCol w:w="1394"/>
      </w:tblGrid>
      <w:tr w:rsidR="004D0A40">
        <w:trPr>
          <w:trHeight w:val="755"/>
          <w:jc w:val="center"/>
        </w:trPr>
        <w:tc>
          <w:tcPr>
            <w:tcW w:w="1413" w:type="dxa"/>
            <w:vMerge w:val="restart"/>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内部销售代码</w:t>
            </w:r>
          </w:p>
        </w:tc>
        <w:tc>
          <w:tcPr>
            <w:tcW w:w="7489" w:type="dxa"/>
            <w:gridSpan w:val="4"/>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报告期（</w:t>
            </w:r>
            <w:r>
              <w:rPr>
                <w:rFonts w:ascii="方正仿宋简体" w:eastAsia="方正仿宋简体" w:hint="eastAsia"/>
                <w:sz w:val="24"/>
                <w:szCs w:val="24"/>
                <w:shd w:val="clear" w:color="auto" w:fill="FFFFFF"/>
              </w:rPr>
              <w:t>2025年01月01日 - 2025年12月31日</w:t>
            </w:r>
            <w:r>
              <w:rPr>
                <w:rFonts w:ascii="方正仿宋简体" w:eastAsia="方正仿宋简体" w:hint="eastAsia"/>
                <w:sz w:val="24"/>
                <w:szCs w:val="24"/>
                <w:shd w:val="clear" w:color="auto" w:fill="FFFFFF"/>
              </w:rPr>
              <w:t>）</w:t>
            </w:r>
          </w:p>
        </w:tc>
      </w:tr>
      <w:tr w:rsidR="004D0A40">
        <w:trPr>
          <w:jc w:val="center"/>
        </w:trPr>
        <w:tc>
          <w:tcPr>
            <w:tcW w:w="1413" w:type="dxa"/>
            <w:vMerge/>
            <w:vAlign w:val="center"/>
          </w:tcPr>
          <w:p w:rsidR="004D0A40" w:rsidRDefault="004D0A40" w:rsidP="00F87FA0">
            <w:pPr>
              <w:spacing w:beforeLines="20" w:afterLines="20"/>
              <w:jc w:val="center"/>
              <w:rPr>
                <w:rFonts w:ascii="方正仿宋简体" w:eastAsia="方正仿宋简体"/>
                <w:sz w:val="24"/>
                <w:szCs w:val="24"/>
                <w:shd w:val="clear" w:color="auto" w:fill="FFFFFF"/>
              </w:rPr>
            </w:pPr>
          </w:p>
        </w:tc>
        <w:tc>
          <w:tcPr>
            <w:tcW w:w="2268" w:type="dxa"/>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1.</w:t>
            </w:r>
            <w:r>
              <w:rPr>
                <w:rFonts w:ascii="方正仿宋简体" w:eastAsia="方正仿宋简体" w:hint="eastAsia"/>
                <w:sz w:val="24"/>
                <w:szCs w:val="24"/>
                <w:shd w:val="clear" w:color="auto" w:fill="FFFFFF"/>
              </w:rPr>
              <w:t>期末产品最后一个市场交易日资产净值</w:t>
            </w:r>
          </w:p>
        </w:tc>
        <w:tc>
          <w:tcPr>
            <w:tcW w:w="1701" w:type="dxa"/>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2.</w:t>
            </w:r>
            <w:r>
              <w:rPr>
                <w:rFonts w:ascii="方正仿宋简体" w:eastAsia="方正仿宋简体" w:hint="eastAsia"/>
                <w:sz w:val="24"/>
                <w:szCs w:val="24"/>
                <w:shd w:val="clear" w:color="auto" w:fill="FFFFFF"/>
              </w:rPr>
              <w:t>期末产品最后一个市场交易日份额净值</w:t>
            </w:r>
          </w:p>
        </w:tc>
        <w:tc>
          <w:tcPr>
            <w:tcW w:w="2126" w:type="dxa"/>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3.</w:t>
            </w:r>
            <w:r>
              <w:rPr>
                <w:rFonts w:ascii="方正仿宋简体" w:eastAsia="方正仿宋简体" w:hint="eastAsia"/>
                <w:sz w:val="24"/>
                <w:szCs w:val="24"/>
                <w:shd w:val="clear" w:color="auto" w:fill="FFFFFF"/>
              </w:rPr>
              <w:t>期末产品最后一个市场交易日份额累计净值</w:t>
            </w:r>
          </w:p>
        </w:tc>
        <w:tc>
          <w:tcPr>
            <w:tcW w:w="1394" w:type="dxa"/>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4.</w:t>
            </w:r>
            <w:r>
              <w:rPr>
                <w:rFonts w:ascii="方正仿宋简体" w:eastAsia="方正仿宋简体" w:hint="eastAsia"/>
                <w:sz w:val="24"/>
                <w:szCs w:val="24"/>
                <w:shd w:val="clear" w:color="auto" w:fill="FFFFFF"/>
              </w:rPr>
              <w:t>其它费用</w:t>
            </w:r>
          </w:p>
        </w:tc>
      </w:tr>
      <w:tr>
        <w:trPr>
          <w:jc w:val="center"/>
        </w:trPr>
        <w:tc>
          <w:tcPr>
            <w:tcW w:w="1413"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A32020</w:t>
            </w:r>
          </w:p>
        </w:tc>
        <w:tc>
          <w:tcPr>
            <w:tcW w:w="226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2,230,580,192.30</w:t>
            </w:r>
          </w:p>
        </w:tc>
        <w:tc>
          <w:tcPr>
            <w:tcW w:w="170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1.041503</w:t>
            </w:r>
          </w:p>
        </w:tc>
        <w:tc>
          <w:tcPr>
            <w:tcW w:w="2126"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1.041503</w:t>
            </w:r>
          </w:p>
        </w:tc>
        <w:tc>
          <w:tcPr>
            <w:tcW w:w="1394" w:type="dxa"/>
            <w:vMerge w:val="restart"/>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39,113.27</w:t>
            </w:r>
          </w:p>
        </w:tc>
      </w:tr>
      <w:tr>
        <w:trPr>
          <w:jc w:val="center"/>
        </w:trPr>
        <w:tc>
          <w:tcPr>
            <w:tcW w:w="1413"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A32021</w:t>
            </w:r>
          </w:p>
        </w:tc>
        <w:tc>
          <w:tcPr>
            <w:tcW w:w="226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28,579,749.17</w:t>
            </w:r>
          </w:p>
        </w:tc>
        <w:tc>
          <w:tcPr>
            <w:tcW w:w="170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1.040756</w:t>
            </w:r>
          </w:p>
        </w:tc>
        <w:tc>
          <w:tcPr>
            <w:tcW w:w="2126"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1.040756</w:t>
            </w:r>
          </w:p>
        </w:tc>
        <w:tc>
          <w:tcPr>
            <w:tcW w:w="139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r>
        <w:trPr>
          <w:jc w:val="center"/>
        </w:trPr>
        <w:tc>
          <w:tcPr>
            <w:tcW w:w="1413"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A32022</w:t>
            </w:r>
          </w:p>
        </w:tc>
        <w:tc>
          <w:tcPr>
            <w:tcW w:w="226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114,628,433.93</w:t>
            </w:r>
          </w:p>
        </w:tc>
        <w:tc>
          <w:tcPr>
            <w:tcW w:w="170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1.037245</w:t>
            </w:r>
          </w:p>
        </w:tc>
        <w:tc>
          <w:tcPr>
            <w:tcW w:w="2126"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1.037245</w:t>
            </w:r>
          </w:p>
        </w:tc>
        <w:tc>
          <w:tcPr>
            <w:tcW w:w="139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r>
        <w:trPr>
          <w:jc w:val="center"/>
        </w:trPr>
        <w:tc>
          <w:tcPr>
            <w:tcW w:w="1413"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A32023</w:t>
            </w:r>
          </w:p>
        </w:tc>
        <w:tc>
          <w:tcPr>
            <w:tcW w:w="226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651,240,861.51</w:t>
            </w:r>
          </w:p>
        </w:tc>
        <w:tc>
          <w:tcPr>
            <w:tcW w:w="170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1.038767</w:t>
            </w:r>
          </w:p>
        </w:tc>
        <w:tc>
          <w:tcPr>
            <w:tcW w:w="2126"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1.038767</w:t>
            </w:r>
          </w:p>
        </w:tc>
        <w:tc>
          <w:tcPr>
            <w:tcW w:w="139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r>
        <w:trPr>
          <w:jc w:val="center"/>
        </w:trPr>
        <w:tc>
          <w:tcPr>
            <w:tcW w:w="1413"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A32057</w:t>
            </w:r>
          </w:p>
        </w:tc>
        <w:tc>
          <w:tcPr>
            <w:tcW w:w="226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92,266,638.80</w:t>
            </w:r>
          </w:p>
        </w:tc>
        <w:tc>
          <w:tcPr>
            <w:tcW w:w="170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1.039183</w:t>
            </w:r>
          </w:p>
        </w:tc>
        <w:tc>
          <w:tcPr>
            <w:tcW w:w="2126"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1.039183</w:t>
            </w:r>
          </w:p>
        </w:tc>
        <w:tc>
          <w:tcPr>
            <w:tcW w:w="139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bl>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hint="eastAsia"/>
          <w:sz w:val="24"/>
          <w:szCs w:val="24"/>
        </w:rPr>
        <w:lastRenderedPageBreak/>
        <w:t>注：产品净值可能存在未扣除管理人及投资合作机构业绩报酬、赎回费等费用（如有）的情况，实际收益以兑付为准。</w:t>
      </w:r>
    </w:p>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w:t>
      </w:r>
      <w:r>
        <w:rPr>
          <w:rFonts w:ascii="方正仿宋简体" w:eastAsia="方正仿宋简体" w:hAnsi="Calibri" w:hint="eastAsia"/>
          <w:b/>
          <w:sz w:val="24"/>
          <w:szCs w:val="24"/>
        </w:rPr>
        <w:t xml:space="preserve">3  </w:t>
      </w:r>
      <w:r>
        <w:rPr>
          <w:rFonts w:ascii="方正仿宋简体" w:eastAsia="方正仿宋简体" w:hAnsi="Calibri" w:hint="eastAsia"/>
          <w:b/>
          <w:sz w:val="24"/>
          <w:szCs w:val="24"/>
        </w:rPr>
        <w:t>管理人报告</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hint="eastAsia"/>
          <w:sz w:val="24"/>
          <w:szCs w:val="24"/>
        </w:rPr>
        <w:t>  四季度债市利空因素边际缓解，基金销售费率新规影响下机构赎回边际放缓，央行重启国债买卖，机构博弈利差压缩收益，信用债配置情绪整体有所修复，年末万科债券展期，重要会议释放货币宽松信号，央行呵护跨年资金面，但超长债供给时有扰动，债券收益率窄幅波动，十年国债到期收益率先下后上从1.86%微幅下行至1.85%。</w:t>
        <w:br w:type="textWrapping" w:clear="all"/>
      </w:r>
      <w:r>
        <w:rPr>
          <w:rFonts w:ascii="方正仿宋简体" w:eastAsia="方正仿宋简体" w:hint="eastAsia"/>
          <w:sz w:val="24"/>
          <w:szCs w:val="24"/>
        </w:rPr>
        <w:t>  展望后市，一方面经济弱复苏格局延续，内需疲软、通缩压力仍存，制造业PMI及核心CPI数据持续承压，为货币政策维持宽松提供空间，叠加资金面大概率保持充裕，债市仍具备结构性机会。另一方面长久期债券供需矛盾凸显，超长债供给抬升但基金、保险等配置需求减弱，期限结构错配问题待解，制约长端利率下行空间。后续关注政府债供给节奏、货币政策落地力度、两会政策预期及信用风险事件等因素带来的市场变动，把握波动带来的资产配置窗口。</w:t>
        <w:br w:type="textWrapping" w:clear="all"/>
      </w:r>
      <w:r>
        <w:rPr>
          <w:rFonts w:ascii="方正仿宋简体" w:eastAsia="方正仿宋简体" w:hint="eastAsia"/>
          <w:sz w:val="24"/>
          <w:szCs w:val="24"/>
        </w:rPr>
        <w:t>  产品始终围绕稳健回报的收益目标进行操作，通过持有信用资质较好、绝对收益相对较高的江浙等发达省市信用债作为底仓，获取稳定可靠的票息收益；同时增加同业存单、存款等高流动性资产仓位保证流动性安全，控制回撤。基于对后市的判断，产品将灵活调整杠杆与久期，实现产品净值在合理区间内保持相对稳定；同时加强市场与品种研判，在控制好风险的前提下博取超额收益。</w:t>
      </w:r>
      <w:r>
        <w:rPr>
          <w:rFonts w:ascii="方正仿宋简体" w:eastAsia="方正仿宋简体" w:hint="eastAsia"/>
          <w:sz w:val="24"/>
          <w:szCs w:val="24"/>
        </w:rPr>
        <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hint="eastAsia"/>
          <w:sz w:val="24"/>
          <w:szCs w:val="24"/>
        </w:rPr>
        <w:t>  本产品持仓中维持合理比例高流动性资产，杠杆处于合理水平，流动性状况较好。</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4D0A40" w:rsidRDefault="00B75FAA" w:rsidP="00F87FA0">
      <w:pPr>
        <w:spacing w:before="240" w:afterLines="30"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A32020份额净值为1.041503元，A32021份额净值为1.040756元，A32022份额净值为1.037245元，A32023份额净值为1.038767元，A32057份额净值为1.039183</w:t>
      </w:r>
      <w:r>
        <w:rPr>
          <w:rFonts w:ascii="方正仿宋简体" w:eastAsia="方正仿宋简体" w:hint="eastAsia"/>
          <w:sz w:val="24"/>
          <w:szCs w:val="24"/>
        </w:rPr>
        <w:t>元。</w:t>
      </w:r>
    </w:p>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B75FAA" w:rsidP="00F87FA0">
      <w:pPr>
        <w:spacing w:before="240" w:afterLines="30" w:line="360" w:lineRule="auto"/>
        <w:jc w:val="center"/>
        <w:rPr>
          <w:rFonts w:ascii="方正仿宋简体" w:eastAsia="方正仿宋简体" w:hAnsi="Calibri"/>
          <w:b/>
          <w:sz w:val="24"/>
          <w:szCs w:val="24"/>
        </w:rPr>
      </w:pPr>
      <w:r>
        <w:rPr>
          <w:rFonts w:ascii="方正仿宋简体" w:eastAsia="方正仿宋简体" w:hAnsi="Calibri" w:hint="eastAsia"/>
          <w:b/>
          <w:sz w:val="24"/>
          <w:szCs w:val="24"/>
        </w:rPr>
        <w:t>§</w:t>
      </w:r>
      <w:r>
        <w:rPr>
          <w:rFonts w:ascii="方正仿宋简体" w:eastAsia="方正仿宋简体" w:hAnsi="Calibri" w:hint="eastAsia"/>
          <w:b/>
          <w:sz w:val="24"/>
          <w:szCs w:val="24"/>
        </w:rPr>
        <w:t xml:space="preserve">4  </w:t>
      </w:r>
      <w:r>
        <w:rPr>
          <w:rFonts w:ascii="方正仿宋简体" w:eastAsia="方正仿宋简体" w:hAnsi="Calibri" w:hint="eastAsia"/>
          <w:b/>
          <w:sz w:val="24"/>
          <w:szCs w:val="24"/>
        </w:rPr>
        <w:t>托管人报告</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4.1</w:t>
      </w:r>
      <w:r>
        <w:rPr>
          <w:rFonts w:ascii="方正仿宋简体" w:eastAsia="方正仿宋简体" w:hint="eastAsia"/>
          <w:b/>
          <w:sz w:val="24"/>
          <w:szCs w:val="24"/>
        </w:rPr>
        <w:t>报告期内托管人遵规守信情况声明</w:t>
      </w:r>
    </w:p>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hint="eastAsia"/>
          <w:sz w:val="24"/>
          <w:szCs w:val="24"/>
        </w:rPr>
        <w:t>  在托管本产品的过程中，本产品托管人南京银行股份有限公司严格遵守《商业银行理财子公司管理办法》相关法律法规的规定以及产品说明书的约定，对本产品管理人在报告期内产品的投资运作进行了认真、独立的会计核算和必要的投资监督，认真履行了托管人的义务，没有从事任何损害产品份额持有人利益的行为。</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托管人对报告期内投资运作遵规守信、净值计算、利润分配等情况的说明</w:t>
      </w:r>
    </w:p>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sz w:val="24"/>
          <w:szCs w:val="24"/>
        </w:rPr>
        <w:t>  本托管人认为,管理人在本产品的投资运作、产品资产净值的计算、产品份额申购赎回价格的计算、产品费用开支及利润分配等问题上不存在损害产品份额持有人利益的行为；在报告期内，严格遵守了有关法律法规，在各重要方面的运作严格按照托管协议和理财产品说明书的规定进行。</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4.3 </w:t>
      </w:r>
      <w:r>
        <w:rPr>
          <w:rFonts w:ascii="方正仿宋简体" w:eastAsia="方正仿宋简体" w:hint="eastAsia"/>
          <w:b/>
          <w:sz w:val="24"/>
          <w:szCs w:val="24"/>
        </w:rPr>
        <w:t>托管人对本报告期内报告中财务信息等内容的真实、准确和完整发表意见</w:t>
      </w:r>
    </w:p>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sz w:val="24"/>
          <w:szCs w:val="24"/>
        </w:rPr>
        <w:lastRenderedPageBreak/>
        <w:t>  本托管人认为，管理人的信息披露事务符合《商业银行理财子公司管理办法》及其他相关法律法规的规定，产品管理人所编制和披露的本产品报告中的财务指标、净值表现等信息真实、准确、完整，未发现有损害产品持有人利益的行为。</w:t>
      </w:r>
    </w:p>
    <w:p w:rsidR="004D0A40" w:rsidRDefault="004D0A40" w:rsidP="00F87FA0">
      <w:pPr>
        <w:spacing w:before="240" w:afterLines="30" w:line="360" w:lineRule="auto"/>
        <w:rPr>
          <w:rFonts w:ascii="方正仿宋简体" w:eastAsia="方正仿宋简体"/>
          <w:sz w:val="24"/>
          <w:szCs w:val="24"/>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w:t>
      </w:r>
      <w:r>
        <w:rPr>
          <w:rFonts w:ascii="方正仿宋简体" w:eastAsia="方正仿宋简体" w:hAnsi="Calibri" w:hint="eastAsia"/>
          <w:b/>
          <w:sz w:val="24"/>
          <w:szCs w:val="24"/>
        </w:rPr>
        <w:t xml:space="preserve">5  </w:t>
      </w:r>
      <w:r>
        <w:rPr>
          <w:rFonts w:ascii="方正仿宋简体" w:eastAsia="方正仿宋简体" w:hAnsi="Calibri" w:hint="eastAsia"/>
          <w:b/>
          <w:sz w:val="24"/>
          <w:szCs w:val="24"/>
        </w:rPr>
        <w:t>投资组合报告</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5.1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61"/>
        <w:gridCol w:w="3004"/>
        <w:gridCol w:w="3292"/>
      </w:tblGrid>
      <w:tr w:rsidR="004D0A40">
        <w:trPr>
          <w:trHeight w:val="584"/>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861"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资产类别</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穿透前占总资产比例</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穿透后占总资产比例</w:t>
            </w:r>
          </w:p>
        </w:tc>
      </w:tr>
      <w:tr w:rsidR="004D0A40">
        <w:trPr>
          <w:trHeight w:val="584"/>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w:t>
            </w:r>
          </w:p>
        </w:tc>
        <w:tc>
          <w:tcPr>
            <w:tcW w:w="1861"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固定收益类</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r>
              <w:rPr>
                <w:rFonts w:ascii="方正仿宋简体" w:eastAsia="方正仿宋简体" w:hAnsiTheme="minorEastAsia"/>
                <w:sz w:val="24"/>
                <w:szCs w:val="24"/>
              </w:rPr>
              <w:t>%</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98.47</w:t>
            </w:r>
            <w:r>
              <w:rPr>
                <w:rFonts w:ascii="方正仿宋简体" w:eastAsia="方正仿宋简体" w:hAnsiTheme="minorEastAsia"/>
                <w:sz w:val="24"/>
                <w:szCs w:val="24"/>
              </w:rPr>
              <w:t>%</w:t>
            </w:r>
          </w:p>
        </w:tc>
      </w:tr>
      <w:tr w:rsidR="004D0A40">
        <w:trPr>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2</w:t>
            </w:r>
          </w:p>
        </w:tc>
        <w:tc>
          <w:tcPr>
            <w:tcW w:w="1861"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权益类</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1.53</w:t>
            </w:r>
            <w:r>
              <w:rPr>
                <w:rFonts w:ascii="方正仿宋简体" w:eastAsia="方正仿宋简体" w:hAnsiTheme="minorEastAsia"/>
                <w:sz w:val="24"/>
                <w:szCs w:val="24"/>
              </w:rPr>
              <w:t>%</w:t>
            </w:r>
          </w:p>
        </w:tc>
      </w:tr>
      <w:tr w:rsidR="004D0A40">
        <w:trPr>
          <w:trHeight w:val="584"/>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3</w:t>
            </w:r>
          </w:p>
        </w:tc>
        <w:tc>
          <w:tcPr>
            <w:tcW w:w="1861"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商品及金融衍生品类</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4D0A40">
        <w:trPr>
          <w:trHeight w:val="584"/>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4</w:t>
            </w:r>
          </w:p>
        </w:tc>
        <w:tc>
          <w:tcPr>
            <w:tcW w:w="1861"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混合类</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4D0A40">
        <w:trPr>
          <w:trHeight w:val="584"/>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5</w:t>
            </w:r>
          </w:p>
        </w:tc>
        <w:tc>
          <w:tcPr>
            <w:tcW w:w="1861"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合计</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r>
    </w:tbl>
    <w:p w:rsidR="004D0A40" w:rsidRDefault="004D0A40" w:rsidP="00F87FA0">
      <w:pPr>
        <w:spacing w:before="240" w:afterLines="30" w:line="360" w:lineRule="auto"/>
        <w:rPr>
          <w:rFonts w:ascii="方正仿宋简体" w:eastAsia="方正仿宋简体" w:cs="宋体"/>
          <w:kern w:val="0"/>
          <w:sz w:val="24"/>
          <w:szCs w:val="24"/>
        </w:rPr>
      </w:pP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5.2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589"/>
        <w:gridCol w:w="1748"/>
        <w:gridCol w:w="2721"/>
        <w:gridCol w:w="2059"/>
        <w:gridCol w:w="1785"/>
      </w:tblGrid>
      <w:tr w:rsidR="004D0A40">
        <w:trPr>
          <w:trHeight w:val="870"/>
          <w:jc w:val="center"/>
        </w:trPr>
        <w:tc>
          <w:tcPr>
            <w:tcW w:w="589"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748"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代码</w:t>
            </w:r>
          </w:p>
        </w:tc>
        <w:tc>
          <w:tcPr>
            <w:tcW w:w="2721"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名称</w:t>
            </w:r>
          </w:p>
        </w:tc>
        <w:tc>
          <w:tcPr>
            <w:tcW w:w="2059"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公允价值</w:t>
            </w:r>
            <w:r>
              <w:rPr>
                <w:rFonts w:ascii="方正仿宋简体" w:eastAsia="方正仿宋简体" w:hAnsiTheme="minorEastAsia" w:hint="eastAsia"/>
                <w:sz w:val="24"/>
                <w:szCs w:val="24"/>
              </w:rPr>
              <w:t>(</w:t>
            </w:r>
            <w:r>
              <w:rPr>
                <w:rFonts w:ascii="方正仿宋简体" w:eastAsia="方正仿宋简体" w:hAnsiTheme="minorEastAsia" w:hint="eastAsia"/>
                <w:sz w:val="24"/>
                <w:szCs w:val="24"/>
              </w:rPr>
              <w:t>元</w:t>
            </w:r>
            <w:r>
              <w:rPr>
                <w:rFonts w:ascii="方正仿宋简体" w:eastAsia="方正仿宋简体" w:hAnsiTheme="minorEastAsia" w:hint="eastAsia"/>
                <w:sz w:val="24"/>
                <w:szCs w:val="24"/>
              </w:rPr>
              <w:t>)</w:t>
            </w:r>
          </w:p>
        </w:tc>
        <w:tc>
          <w:tcPr>
            <w:tcW w:w="1785"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占产品资产净值比例（％）</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ZJQTT202410090002</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陆家嘴信托-陆享19号集合资金信托计划</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658,291,608.96</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21.12</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ZJQTT202502250024</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紫金信托合盛3号集合资金信托计划</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225,387,743.50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7.23</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ZJQTT202410140001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建信资管浦江安盈货币3号资产管理产品</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203,408,243.44</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6.53</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DQCKX202508010001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北京银行定期存款20250801</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200,000,000.00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6.42</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DQCKX202508120002</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上海银行定期存款20250812B</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200,000,000.00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6.42</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DQCKX202508250002</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民生银行定期存款20250825</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170,000,000.00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5.45</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ZJQTT202508040001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太平洋安盈十五号流动性资产管理产品</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150,761,823.64</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4.84</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DQCKX202506100022</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北京银行定期存款20250610B</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100,000,000.00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3.21</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9</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DQCKX202507170002</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上海银行定期存款20250717B</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100,000,000.00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3.21</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DQCKX202507230021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上海银行定期存款20250723</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100,000,000.00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3.21</w:t>
            </w:r>
          </w:p>
        </w:tc>
      </w:tr>
    </w:tbl>
    <w:p w:rsidR="004D0A40" w:rsidRDefault="004D0A40" w:rsidP="00F87FA0">
      <w:pPr>
        <w:spacing w:before="240" w:afterLines="30" w:line="360" w:lineRule="auto"/>
        <w:rPr>
          <w:rFonts w:ascii="方正仿宋简体" w:eastAsia="方正仿宋简体" w:hAnsi="宋体" w:cs="宋体"/>
          <w:sz w:val="24"/>
          <w:szCs w:val="24"/>
          <w:shd w:val="clear" w:color="auto" w:fill="FFFFFF"/>
        </w:rPr>
      </w:pPr>
    </w:p>
    <w:p w:rsidR="004D0A40" w:rsidRDefault="00B75FAA" w:rsidP="00F87FA0">
      <w:pPr>
        <w:spacing w:before="240" w:afterLines="30" w:line="360" w:lineRule="auto"/>
        <w:rPr>
          <w:rFonts w:ascii="方正仿宋简体" w:eastAsia="方正仿宋简体" w:hAnsi="宋体" w:cs="宋体"/>
          <w:b/>
          <w:sz w:val="24"/>
          <w:szCs w:val="24"/>
          <w:shd w:val="clear" w:color="auto" w:fill="FFFFFF"/>
        </w:rPr>
      </w:pPr>
      <w:r>
        <w:rPr>
          <w:rFonts w:ascii="方正仿宋简体" w:eastAsia="方正仿宋简体" w:hAnsi="宋体" w:cs="宋体" w:hint="eastAsia"/>
          <w:b/>
          <w:sz w:val="24"/>
          <w:szCs w:val="24"/>
          <w:shd w:val="clear" w:color="auto" w:fill="FFFFFF"/>
        </w:rPr>
        <w:t>5.3</w:t>
      </w:r>
      <w:r>
        <w:rPr>
          <w:rFonts w:ascii="方正仿宋简体" w:eastAsia="方正仿宋简体" w:hAnsi="宋体" w:cs="宋体" w:hint="eastAsia"/>
          <w:b/>
          <w:sz w:val="24"/>
          <w:szCs w:val="24"/>
          <w:shd w:val="clear" w:color="auto" w:fill="FFFFFF"/>
        </w:rPr>
        <w:t>报告期末非标准化债权类资产明细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07"/>
        <w:gridCol w:w="1272"/>
        <w:gridCol w:w="1695"/>
        <w:gridCol w:w="1412"/>
        <w:gridCol w:w="1695"/>
        <w:gridCol w:w="1272"/>
        <w:gridCol w:w="849"/>
      </w:tblGrid>
      <w:tr w:rsidR="004D0A40">
        <w:trPr>
          <w:jc w:val="center"/>
        </w:trPr>
        <w:tc>
          <w:tcPr>
            <w:tcW w:w="707"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27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融资客户</w:t>
            </w:r>
          </w:p>
        </w:tc>
        <w:tc>
          <w:tcPr>
            <w:tcW w:w="1695"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项目名称</w:t>
            </w:r>
          </w:p>
        </w:tc>
        <w:tc>
          <w:tcPr>
            <w:tcW w:w="141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剩余融资期限（天</w:t>
            </w:r>
            <w:r>
              <w:rPr>
                <w:rFonts w:ascii="方正仿宋简体" w:eastAsia="方正仿宋简体" w:hAnsiTheme="minorEastAsia"/>
                <w:sz w:val="24"/>
                <w:szCs w:val="24"/>
              </w:rPr>
              <w:t>）</w:t>
            </w:r>
          </w:p>
        </w:tc>
        <w:tc>
          <w:tcPr>
            <w:tcW w:w="1695"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到期收益分配</w:t>
            </w:r>
          </w:p>
        </w:tc>
        <w:tc>
          <w:tcPr>
            <w:tcW w:w="127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交易结构</w:t>
            </w:r>
          </w:p>
        </w:tc>
        <w:tc>
          <w:tcPr>
            <w:tcW w:w="849"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风险状况</w:t>
            </w:r>
          </w:p>
        </w:tc>
      </w:tr>
      <w:tr>
        <w:trPr>
          <w:jc w:val="center"/>
        </w:trPr>
        <w:tc>
          <w:tcPr>
            <w:tcW w:w="707"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695"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41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695"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849"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r>
    </w:tbl>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6</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968"/>
        <w:gridCol w:w="1517"/>
        <w:gridCol w:w="2449"/>
        <w:gridCol w:w="1984"/>
        <w:gridCol w:w="1984"/>
      </w:tblGrid>
      <w:tr w:rsidR="004D0A40">
        <w:trPr>
          <w:trHeight w:val="705"/>
          <w:jc w:val="center"/>
        </w:trPr>
        <w:tc>
          <w:tcPr>
            <w:tcW w:w="968"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517"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账户类型</w:t>
            </w:r>
          </w:p>
        </w:tc>
        <w:tc>
          <w:tcPr>
            <w:tcW w:w="2449"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账号</w:t>
            </w:r>
          </w:p>
        </w:tc>
        <w:tc>
          <w:tcPr>
            <w:tcW w:w="198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账户名称</w:t>
            </w:r>
          </w:p>
        </w:tc>
        <w:tc>
          <w:tcPr>
            <w:tcW w:w="198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开户单位</w:t>
            </w:r>
          </w:p>
        </w:tc>
      </w:tr>
      <w:tr>
        <w:trPr>
          <w:jc w:val="center"/>
        </w:trPr>
        <w:tc>
          <w:tcPr>
            <w:tcW w:w="968"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517"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托管账户</w:t>
            </w:r>
          </w:p>
        </w:tc>
        <w:tc>
          <w:tcPr>
            <w:tcW w:w="2449"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0101090000000924</w:t>
            </w:r>
          </w:p>
        </w:tc>
        <w:tc>
          <w:tcPr>
            <w:tcW w:w="1984"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南京银行南京分行南银理财鼎瑞悦稳最低持有7天3号</w:t>
            </w:r>
          </w:p>
        </w:tc>
        <w:tc>
          <w:tcPr>
            <w:tcW w:w="1984"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南京银行</w:t>
            </w:r>
          </w:p>
        </w:tc>
      </w:tr>
    </w:tbl>
    <w:p w:rsidR="004D0A40" w:rsidRDefault="004D0A40" w:rsidP="00F87FA0">
      <w:pPr>
        <w:spacing w:before="240" w:afterLines="30" w:line="360" w:lineRule="auto"/>
        <w:rPr>
          <w:rFonts w:ascii="方正仿宋简体" w:eastAsia="方正仿宋简体"/>
          <w:sz w:val="24"/>
          <w:szCs w:val="24"/>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7 </w:t>
      </w:r>
      <w:r>
        <w:rPr>
          <w:rFonts w:ascii="方正仿宋简体" w:eastAsia="方正仿宋简体" w:hint="eastAsia"/>
          <w:b/>
          <w:sz w:val="24"/>
          <w:szCs w:val="24"/>
        </w:rPr>
        <w:t>关联交易情况</w:t>
      </w:r>
    </w:p>
    <w:p w:rsidR="004D0A40" w:rsidRDefault="00F87F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7.1</w:t>
      </w:r>
      <w:r w:rsidR="00B75FAA">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4D0A40">
        <w:trPr>
          <w:trHeight w:val="534"/>
          <w:jc w:val="center"/>
        </w:trPr>
        <w:tc>
          <w:tcPr>
            <w:tcW w:w="877"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4D0A40">
        <w:trPr>
          <w:trHeight w:val="534"/>
          <w:jc w:val="center"/>
        </w:trPr>
        <w:tc>
          <w:tcPr>
            <w:tcW w:w="877" w:type="dxa"/>
            <w:vMerge/>
            <w:vAlign w:val="center"/>
          </w:tcPr>
          <w:p w:rsidR="004D0A40" w:rsidRDefault="004D0A40" w:rsidP="00F87FA0">
            <w:pPr>
              <w:spacing w:beforeLines="20" w:afterLines="20"/>
              <w:jc w:val="center"/>
            </w:pPr>
          </w:p>
        </w:tc>
        <w:tc>
          <w:tcPr>
            <w:tcW w:w="1704" w:type="dxa"/>
            <w:vMerge/>
            <w:vAlign w:val="center"/>
          </w:tcPr>
          <w:p w:rsidR="004D0A40" w:rsidRDefault="004D0A40" w:rsidP="00F87FA0">
            <w:pPr>
              <w:spacing w:beforeLines="20" w:afterLines="20"/>
              <w:jc w:val="center"/>
            </w:pPr>
          </w:p>
        </w:tc>
        <w:tc>
          <w:tcPr>
            <w:tcW w:w="1275" w:type="dxa"/>
            <w:vMerge/>
            <w:vAlign w:val="center"/>
          </w:tcPr>
          <w:p w:rsidR="004D0A40" w:rsidRDefault="004D0A40" w:rsidP="00F87FA0">
            <w:pPr>
              <w:spacing w:beforeLines="20" w:afterLines="20"/>
              <w:jc w:val="center"/>
            </w:pPr>
          </w:p>
        </w:tc>
        <w:tc>
          <w:tcPr>
            <w:tcW w:w="1540" w:type="dxa"/>
            <w:vMerge/>
            <w:vAlign w:val="center"/>
          </w:tcPr>
          <w:p w:rsidR="004D0A40" w:rsidRDefault="004D0A40" w:rsidP="00F87FA0">
            <w:pPr>
              <w:spacing w:beforeLines="20" w:afterLines="20"/>
              <w:jc w:val="center"/>
            </w:pP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4D0A40" w:rsidRDefault="002B6236">
      <w:pPr>
        <w:spacing w:before="240" w:after="72" w:line="360" w:lineRule="auto"/>
        <w:rPr>
          <w:rFonts w:ascii="方正仿宋简体" w:eastAsia="方正仿宋简体"/>
          <w:b/>
          <w:sz w:val="24"/>
          <w:szCs w:val="24"/>
        </w:rPr>
      </w:pPr>
      <w:r>
        <w:rPr>
          <w:rFonts w:ascii="方正仿宋简体" w:eastAsia="方正仿宋简体" w:hint="eastAsia"/>
          <w:b/>
          <w:sz w:val="24"/>
          <w:szCs w:val="24"/>
        </w:rPr>
        <w:lastRenderedPageBreak/>
        <w:t>7.</w:t>
      </w:r>
      <w:r w:rsidR="00B75FAA">
        <w:rPr>
          <w:rFonts w:ascii="方正仿宋简体" w:eastAsia="方正仿宋简体" w:hint="eastAsia"/>
          <w:b/>
          <w:sz w:val="24"/>
          <w:szCs w:val="24"/>
        </w:rPr>
        <w:t>2</w:t>
      </w:r>
      <w:r w:rsidR="00B75FAA">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4D0A40">
        <w:trPr>
          <w:trHeight w:val="534"/>
          <w:jc w:val="center"/>
        </w:trPr>
        <w:tc>
          <w:tcPr>
            <w:tcW w:w="877"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4D0A40">
        <w:trPr>
          <w:trHeight w:val="534"/>
          <w:jc w:val="center"/>
        </w:trPr>
        <w:tc>
          <w:tcPr>
            <w:tcW w:w="877" w:type="dxa"/>
            <w:vMerge/>
            <w:vAlign w:val="center"/>
          </w:tcPr>
          <w:p w:rsidR="004D0A40" w:rsidRDefault="004D0A40" w:rsidP="00F87FA0">
            <w:pPr>
              <w:spacing w:beforeLines="20" w:afterLines="20"/>
              <w:jc w:val="center"/>
            </w:pPr>
          </w:p>
        </w:tc>
        <w:tc>
          <w:tcPr>
            <w:tcW w:w="1704" w:type="dxa"/>
            <w:vMerge/>
            <w:vAlign w:val="center"/>
          </w:tcPr>
          <w:p w:rsidR="004D0A40" w:rsidRDefault="004D0A40" w:rsidP="00F87FA0">
            <w:pPr>
              <w:spacing w:beforeLines="20" w:afterLines="20"/>
              <w:jc w:val="center"/>
            </w:pPr>
          </w:p>
        </w:tc>
        <w:tc>
          <w:tcPr>
            <w:tcW w:w="1275" w:type="dxa"/>
            <w:vMerge/>
            <w:vAlign w:val="center"/>
          </w:tcPr>
          <w:p w:rsidR="004D0A40" w:rsidRDefault="004D0A40" w:rsidP="00F87FA0">
            <w:pPr>
              <w:spacing w:beforeLines="20" w:afterLines="20"/>
              <w:jc w:val="center"/>
            </w:pPr>
          </w:p>
        </w:tc>
        <w:tc>
          <w:tcPr>
            <w:tcW w:w="1540" w:type="dxa"/>
            <w:vMerge/>
            <w:vAlign w:val="center"/>
          </w:tcPr>
          <w:p w:rsidR="004D0A40" w:rsidRDefault="004D0A40" w:rsidP="00F87FA0">
            <w:pPr>
              <w:spacing w:beforeLines="20" w:afterLines="20"/>
              <w:jc w:val="center"/>
            </w:pP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4D0A40" w:rsidRDefault="002809F4">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B75FAA">
        <w:rPr>
          <w:rFonts w:ascii="方正仿宋简体" w:eastAsia="方正仿宋简体" w:hint="eastAsia"/>
          <w:b/>
          <w:sz w:val="24"/>
          <w:szCs w:val="24"/>
        </w:rPr>
        <w:t>3</w:t>
      </w:r>
      <w:r w:rsidR="00B75FAA">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4D0A40">
        <w:trPr>
          <w:trHeight w:val="534"/>
          <w:jc w:val="center"/>
        </w:trPr>
        <w:tc>
          <w:tcPr>
            <w:tcW w:w="877"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4D0A40">
        <w:trPr>
          <w:trHeight w:val="534"/>
          <w:jc w:val="center"/>
        </w:trPr>
        <w:tc>
          <w:tcPr>
            <w:tcW w:w="877" w:type="dxa"/>
            <w:vMerge/>
            <w:vAlign w:val="center"/>
          </w:tcPr>
          <w:p w:rsidR="004D0A40" w:rsidRDefault="004D0A40" w:rsidP="00F87FA0">
            <w:pPr>
              <w:spacing w:beforeLines="20" w:afterLines="20"/>
              <w:jc w:val="center"/>
            </w:pPr>
          </w:p>
        </w:tc>
        <w:tc>
          <w:tcPr>
            <w:tcW w:w="1704" w:type="dxa"/>
            <w:vMerge/>
            <w:vAlign w:val="center"/>
          </w:tcPr>
          <w:p w:rsidR="004D0A40" w:rsidRDefault="004D0A40" w:rsidP="00F87FA0">
            <w:pPr>
              <w:spacing w:beforeLines="20" w:afterLines="20"/>
              <w:jc w:val="center"/>
            </w:pPr>
          </w:p>
        </w:tc>
        <w:tc>
          <w:tcPr>
            <w:tcW w:w="1275" w:type="dxa"/>
            <w:vMerge/>
            <w:vAlign w:val="center"/>
          </w:tcPr>
          <w:p w:rsidR="004D0A40" w:rsidRDefault="004D0A40" w:rsidP="00F87FA0">
            <w:pPr>
              <w:spacing w:beforeLines="20" w:afterLines="20"/>
              <w:jc w:val="center"/>
            </w:pPr>
          </w:p>
        </w:tc>
        <w:tc>
          <w:tcPr>
            <w:tcW w:w="1540" w:type="dxa"/>
            <w:vMerge/>
            <w:vAlign w:val="center"/>
          </w:tcPr>
          <w:p w:rsidR="004D0A40" w:rsidRDefault="004D0A40" w:rsidP="00F87FA0">
            <w:pPr>
              <w:spacing w:beforeLines="20" w:afterLines="20"/>
              <w:jc w:val="center"/>
            </w:pP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2644818059.39</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2667000000.00</w:t>
            </w:r>
          </w:p>
        </w:tc>
      </w:tr>
    </w:tbl>
    <w:p w:rsidR="004D0A40" w:rsidRDefault="005C60F4">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B75FAA">
        <w:rPr>
          <w:rFonts w:ascii="方正仿宋简体" w:eastAsia="方正仿宋简体" w:hint="eastAsia"/>
          <w:b/>
          <w:sz w:val="24"/>
          <w:szCs w:val="24"/>
        </w:rPr>
        <w:t>4</w:t>
      </w:r>
      <w:r w:rsidR="00B75FAA">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4D0A40">
        <w:trPr>
          <w:trHeight w:val="1048"/>
          <w:jc w:val="center"/>
        </w:trPr>
        <w:tc>
          <w:tcPr>
            <w:tcW w:w="877"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6655325.36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911098.97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12000.00</w:t>
            </w:r>
          </w:p>
        </w:tc>
      </w:tr>
    </w:tbl>
    <w:p w:rsidR="004D0A40" w:rsidRDefault="004D0A40">
      <w:pPr>
        <w:spacing w:before="240" w:after="72" w:line="360" w:lineRule="auto"/>
        <w:rPr>
          <w:rFonts w:ascii="方正仿宋_GBK" w:eastAsia="方正仿宋_GBK" w:hAnsi="宋体" w:cs="宋体"/>
          <w:kern w:val="0"/>
          <w:sz w:val="24"/>
          <w:szCs w:val="24"/>
        </w:rPr>
      </w:pPr>
    </w:p>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B75FAA" w:rsidP="00F87FA0">
      <w:pPr>
        <w:spacing w:before="240" w:afterLines="30" w:line="360" w:lineRule="auto"/>
        <w:jc w:val="right"/>
        <w:rPr>
          <w:rFonts w:ascii="方正仿宋简体" w:eastAsia="方正仿宋简体" w:hAnsi="Calibri"/>
          <w:b/>
          <w:sz w:val="24"/>
          <w:szCs w:val="24"/>
        </w:rPr>
      </w:pPr>
      <w:r>
        <w:rPr>
          <w:rFonts w:ascii="方正仿宋简体" w:eastAsia="方正仿宋简体" w:hAnsi="Calibri" w:hint="eastAsia"/>
          <w:b/>
          <w:sz w:val="24"/>
          <w:szCs w:val="24"/>
        </w:rPr>
        <w:t>南银理财有限责任公司</w:t>
      </w:r>
    </w:p>
    <w:p w:rsidR="004D0A40" w:rsidRDefault="00B75FAA" w:rsidP="004D0A40">
      <w:pPr>
        <w:spacing w:before="240" w:afterLines="30" w:line="360" w:lineRule="auto"/>
        <w:jc w:val="right"/>
        <w:rPr>
          <w:rFonts w:ascii="方正仿宋简体" w:eastAsia="方正仿宋简体"/>
          <w:b/>
          <w:sz w:val="24"/>
          <w:szCs w:val="24"/>
        </w:rPr>
      </w:pPr>
      <w:r>
        <w:rPr>
          <w:rFonts w:ascii="方正仿宋简体" w:eastAsia="方正仿宋简体" w:hint="eastAsia"/>
          <w:b/>
          <w:sz w:val="24"/>
          <w:szCs w:val="24"/>
        </w:rPr>
        <w:t>2025年12月31日</w:t>
      </w:r>
    </w:p>
    <w:sectPr w:rsidR="004D0A40" w:rsidSect="004D0A40">
      <w:headerReference w:type="default" r:id="rId7"/>
      <w:footerReference w:type="even" r:id="rId8"/>
      <w:footerReference w:type="default" r:id="rId9"/>
      <w:headerReference w:type="first" r:id="rId10"/>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FAA" w:rsidRDefault="00B75FAA" w:rsidP="004D0A40">
      <w:r>
        <w:separator/>
      </w:r>
    </w:p>
  </w:endnote>
  <w:endnote w:type="continuationSeparator" w:id="1">
    <w:p w:rsidR="00B75FAA" w:rsidRDefault="00B75FAA" w:rsidP="004D0A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40" w:rsidRDefault="004D0A40">
    <w:pPr>
      <w:pStyle w:val="a5"/>
      <w:framePr w:wrap="around" w:vAnchor="text" w:hAnchor="margin" w:xAlign="center" w:y="1"/>
      <w:rPr>
        <w:rStyle w:val="aa"/>
      </w:rPr>
    </w:pPr>
    <w:r>
      <w:fldChar w:fldCharType="begin"/>
    </w:r>
    <w:r w:rsidR="00B75FAA">
      <w:rPr>
        <w:rStyle w:val="aa"/>
      </w:rPr>
      <w:instrText xml:space="preserve">PAGE  </w:instrText>
    </w:r>
    <w:r>
      <w:fldChar w:fldCharType="end"/>
    </w:r>
  </w:p>
  <w:p w:rsidR="004D0A40" w:rsidRDefault="004D0A4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40" w:rsidRDefault="004D0A40">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FAA" w:rsidRDefault="00B75FAA" w:rsidP="004D0A40">
      <w:r>
        <w:separator/>
      </w:r>
    </w:p>
  </w:footnote>
  <w:footnote w:type="continuationSeparator" w:id="1">
    <w:p w:rsidR="00B75FAA" w:rsidRDefault="00B75FAA" w:rsidP="004D0A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40" w:rsidRDefault="004D0A40">
    <w:pPr>
      <w:pStyle w:val="a6"/>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40" w:rsidRDefault="004D0A40">
    <w:pPr>
      <w:pStyle w:val="a6"/>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compressPunctuation"/>
  <w:hdrShapeDefaults>
    <o:shapedefaults v:ext="edit" spidmax="3074"/>
  </w:hdrShapeDefaults>
  <w:footnotePr>
    <w:footnote w:id="0"/>
    <w:footnote w:id="1"/>
  </w:footnotePr>
  <w:endnotePr>
    <w:endnote w:id="0"/>
    <w:endnote w:id="1"/>
  </w:endnotePr>
  <w:compat>
    <w:doNotExpandShiftReturn/>
    <w:useFELayout/>
  </w:compat>
  <w:rsids>
    <w:rsidRoot w:val="00172A27"/>
    <w:rsid w:val="000060E5"/>
    <w:rsid w:val="000234FF"/>
    <w:rsid w:val="00026D52"/>
    <w:rsid w:val="000318AA"/>
    <w:rsid w:val="000331A3"/>
    <w:rsid w:val="00034FF6"/>
    <w:rsid w:val="000379EA"/>
    <w:rsid w:val="00044BFF"/>
    <w:rsid w:val="000470C2"/>
    <w:rsid w:val="0005474A"/>
    <w:rsid w:val="0005609C"/>
    <w:rsid w:val="00061725"/>
    <w:rsid w:val="000857E6"/>
    <w:rsid w:val="0009184B"/>
    <w:rsid w:val="00095B95"/>
    <w:rsid w:val="000A3711"/>
    <w:rsid w:val="000D5066"/>
    <w:rsid w:val="000E3F60"/>
    <w:rsid w:val="000E6ACE"/>
    <w:rsid w:val="000F6191"/>
    <w:rsid w:val="00103D08"/>
    <w:rsid w:val="001131F8"/>
    <w:rsid w:val="001159BA"/>
    <w:rsid w:val="001279EA"/>
    <w:rsid w:val="00130CE8"/>
    <w:rsid w:val="0014449D"/>
    <w:rsid w:val="00152201"/>
    <w:rsid w:val="001538A9"/>
    <w:rsid w:val="00167653"/>
    <w:rsid w:val="00172A27"/>
    <w:rsid w:val="001735BA"/>
    <w:rsid w:val="00176636"/>
    <w:rsid w:val="00183C84"/>
    <w:rsid w:val="001B497D"/>
    <w:rsid w:val="001C05F9"/>
    <w:rsid w:val="001C4DF0"/>
    <w:rsid w:val="001C5395"/>
    <w:rsid w:val="001D484E"/>
    <w:rsid w:val="001E2EEA"/>
    <w:rsid w:val="001E5905"/>
    <w:rsid w:val="001E7120"/>
    <w:rsid w:val="00211F26"/>
    <w:rsid w:val="00224D9D"/>
    <w:rsid w:val="002263FC"/>
    <w:rsid w:val="002448E3"/>
    <w:rsid w:val="00247A0A"/>
    <w:rsid w:val="00266D7F"/>
    <w:rsid w:val="002678D9"/>
    <w:rsid w:val="002765C9"/>
    <w:rsid w:val="002809F4"/>
    <w:rsid w:val="00295E85"/>
    <w:rsid w:val="002A3AE9"/>
    <w:rsid w:val="002B100D"/>
    <w:rsid w:val="002B6236"/>
    <w:rsid w:val="002C196E"/>
    <w:rsid w:val="002D2787"/>
    <w:rsid w:val="002D2DB0"/>
    <w:rsid w:val="002D75D0"/>
    <w:rsid w:val="002E7131"/>
    <w:rsid w:val="002E795C"/>
    <w:rsid w:val="00305714"/>
    <w:rsid w:val="00313E71"/>
    <w:rsid w:val="00317582"/>
    <w:rsid w:val="00321CB7"/>
    <w:rsid w:val="003379A9"/>
    <w:rsid w:val="0035030B"/>
    <w:rsid w:val="00350ADF"/>
    <w:rsid w:val="00355623"/>
    <w:rsid w:val="0036355A"/>
    <w:rsid w:val="003658B9"/>
    <w:rsid w:val="00387F9B"/>
    <w:rsid w:val="003A0419"/>
    <w:rsid w:val="003B7361"/>
    <w:rsid w:val="003C4D3B"/>
    <w:rsid w:val="003D4B6E"/>
    <w:rsid w:val="003E09EA"/>
    <w:rsid w:val="003E412C"/>
    <w:rsid w:val="003F0AC3"/>
    <w:rsid w:val="00456251"/>
    <w:rsid w:val="004568D2"/>
    <w:rsid w:val="0046794D"/>
    <w:rsid w:val="00473E35"/>
    <w:rsid w:val="00497721"/>
    <w:rsid w:val="004A2DC3"/>
    <w:rsid w:val="004A557F"/>
    <w:rsid w:val="004B249A"/>
    <w:rsid w:val="004B5DED"/>
    <w:rsid w:val="004C1607"/>
    <w:rsid w:val="004C42AC"/>
    <w:rsid w:val="004D0A40"/>
    <w:rsid w:val="004E621E"/>
    <w:rsid w:val="004F2359"/>
    <w:rsid w:val="004F313C"/>
    <w:rsid w:val="005060AD"/>
    <w:rsid w:val="005069D8"/>
    <w:rsid w:val="0051077F"/>
    <w:rsid w:val="00522858"/>
    <w:rsid w:val="0056162E"/>
    <w:rsid w:val="00563B93"/>
    <w:rsid w:val="00567DB3"/>
    <w:rsid w:val="00567EEC"/>
    <w:rsid w:val="00594CF2"/>
    <w:rsid w:val="005B3434"/>
    <w:rsid w:val="005B3C9E"/>
    <w:rsid w:val="005B7384"/>
    <w:rsid w:val="005C60F4"/>
    <w:rsid w:val="005D5ED6"/>
    <w:rsid w:val="005E0686"/>
    <w:rsid w:val="005E2884"/>
    <w:rsid w:val="005E40C5"/>
    <w:rsid w:val="005E5050"/>
    <w:rsid w:val="005F2C7B"/>
    <w:rsid w:val="005F4D04"/>
    <w:rsid w:val="005F7DA9"/>
    <w:rsid w:val="006054F8"/>
    <w:rsid w:val="00642A8D"/>
    <w:rsid w:val="0065419A"/>
    <w:rsid w:val="00654220"/>
    <w:rsid w:val="00663B94"/>
    <w:rsid w:val="006761FB"/>
    <w:rsid w:val="00677F66"/>
    <w:rsid w:val="006A77A0"/>
    <w:rsid w:val="006B0D3E"/>
    <w:rsid w:val="006B6B67"/>
    <w:rsid w:val="006C1014"/>
    <w:rsid w:val="006D1F54"/>
    <w:rsid w:val="006E4E94"/>
    <w:rsid w:val="006F69B2"/>
    <w:rsid w:val="007016D5"/>
    <w:rsid w:val="007017D8"/>
    <w:rsid w:val="00730BEE"/>
    <w:rsid w:val="0073101E"/>
    <w:rsid w:val="00735153"/>
    <w:rsid w:val="00745421"/>
    <w:rsid w:val="00745F96"/>
    <w:rsid w:val="00774E0A"/>
    <w:rsid w:val="00782F29"/>
    <w:rsid w:val="007A4219"/>
    <w:rsid w:val="007B08DF"/>
    <w:rsid w:val="007E0B6E"/>
    <w:rsid w:val="007E4637"/>
    <w:rsid w:val="007E68A3"/>
    <w:rsid w:val="00800690"/>
    <w:rsid w:val="0080200C"/>
    <w:rsid w:val="00805821"/>
    <w:rsid w:val="00814110"/>
    <w:rsid w:val="00820D16"/>
    <w:rsid w:val="0082561A"/>
    <w:rsid w:val="008273FB"/>
    <w:rsid w:val="00846B2E"/>
    <w:rsid w:val="0085663C"/>
    <w:rsid w:val="00870717"/>
    <w:rsid w:val="008768AB"/>
    <w:rsid w:val="008870FD"/>
    <w:rsid w:val="008904CC"/>
    <w:rsid w:val="008926F7"/>
    <w:rsid w:val="008A7510"/>
    <w:rsid w:val="008C78BD"/>
    <w:rsid w:val="008D1B73"/>
    <w:rsid w:val="008F099C"/>
    <w:rsid w:val="008F0FA3"/>
    <w:rsid w:val="008F169F"/>
    <w:rsid w:val="008F1AB3"/>
    <w:rsid w:val="00900D90"/>
    <w:rsid w:val="0092772F"/>
    <w:rsid w:val="009354D6"/>
    <w:rsid w:val="00950650"/>
    <w:rsid w:val="009566E6"/>
    <w:rsid w:val="00956754"/>
    <w:rsid w:val="009679B0"/>
    <w:rsid w:val="00970A98"/>
    <w:rsid w:val="009726DC"/>
    <w:rsid w:val="00977E89"/>
    <w:rsid w:val="00982592"/>
    <w:rsid w:val="009A4E58"/>
    <w:rsid w:val="009A4E79"/>
    <w:rsid w:val="009B1695"/>
    <w:rsid w:val="009B2EEF"/>
    <w:rsid w:val="009C6A99"/>
    <w:rsid w:val="009C781F"/>
    <w:rsid w:val="009D5296"/>
    <w:rsid w:val="009E5F4C"/>
    <w:rsid w:val="009E6170"/>
    <w:rsid w:val="009F1FD4"/>
    <w:rsid w:val="009F4338"/>
    <w:rsid w:val="00A204A0"/>
    <w:rsid w:val="00A24362"/>
    <w:rsid w:val="00A4484F"/>
    <w:rsid w:val="00A66D8E"/>
    <w:rsid w:val="00A748DB"/>
    <w:rsid w:val="00A76D4B"/>
    <w:rsid w:val="00A77C47"/>
    <w:rsid w:val="00A9119C"/>
    <w:rsid w:val="00A93E3C"/>
    <w:rsid w:val="00A94A56"/>
    <w:rsid w:val="00AA4549"/>
    <w:rsid w:val="00AA5B04"/>
    <w:rsid w:val="00AC5144"/>
    <w:rsid w:val="00AD5F53"/>
    <w:rsid w:val="00B030BC"/>
    <w:rsid w:val="00B13014"/>
    <w:rsid w:val="00B17559"/>
    <w:rsid w:val="00B23430"/>
    <w:rsid w:val="00B23E1D"/>
    <w:rsid w:val="00B33978"/>
    <w:rsid w:val="00B33B19"/>
    <w:rsid w:val="00B404E6"/>
    <w:rsid w:val="00B4360D"/>
    <w:rsid w:val="00B43E89"/>
    <w:rsid w:val="00B61EA9"/>
    <w:rsid w:val="00B670D1"/>
    <w:rsid w:val="00B74DCA"/>
    <w:rsid w:val="00B75FAA"/>
    <w:rsid w:val="00BC0E14"/>
    <w:rsid w:val="00BC3903"/>
    <w:rsid w:val="00BD66CD"/>
    <w:rsid w:val="00BE47E0"/>
    <w:rsid w:val="00BF3D9D"/>
    <w:rsid w:val="00BF75C8"/>
    <w:rsid w:val="00C04B3A"/>
    <w:rsid w:val="00C05F9C"/>
    <w:rsid w:val="00C1762E"/>
    <w:rsid w:val="00C20F36"/>
    <w:rsid w:val="00C25123"/>
    <w:rsid w:val="00C2582A"/>
    <w:rsid w:val="00C30A48"/>
    <w:rsid w:val="00C375A7"/>
    <w:rsid w:val="00C44DFE"/>
    <w:rsid w:val="00C62DF8"/>
    <w:rsid w:val="00C640FB"/>
    <w:rsid w:val="00C86023"/>
    <w:rsid w:val="00C94EBA"/>
    <w:rsid w:val="00CA6258"/>
    <w:rsid w:val="00CB054E"/>
    <w:rsid w:val="00CC52D7"/>
    <w:rsid w:val="00CC5E0C"/>
    <w:rsid w:val="00CD79D3"/>
    <w:rsid w:val="00CE4DED"/>
    <w:rsid w:val="00CF7900"/>
    <w:rsid w:val="00D17916"/>
    <w:rsid w:val="00D23AB6"/>
    <w:rsid w:val="00D50309"/>
    <w:rsid w:val="00D51AA9"/>
    <w:rsid w:val="00D55A00"/>
    <w:rsid w:val="00D56204"/>
    <w:rsid w:val="00D56691"/>
    <w:rsid w:val="00D7264A"/>
    <w:rsid w:val="00D7267C"/>
    <w:rsid w:val="00D84E43"/>
    <w:rsid w:val="00D870DF"/>
    <w:rsid w:val="00DA30A0"/>
    <w:rsid w:val="00DB0C2F"/>
    <w:rsid w:val="00DB3BF6"/>
    <w:rsid w:val="00DB56A2"/>
    <w:rsid w:val="00DC31CC"/>
    <w:rsid w:val="00DC728A"/>
    <w:rsid w:val="00DD2F3C"/>
    <w:rsid w:val="00DD65B5"/>
    <w:rsid w:val="00DF5BDF"/>
    <w:rsid w:val="00DF6907"/>
    <w:rsid w:val="00E1059D"/>
    <w:rsid w:val="00E11B2F"/>
    <w:rsid w:val="00E155DF"/>
    <w:rsid w:val="00E246E1"/>
    <w:rsid w:val="00E314CE"/>
    <w:rsid w:val="00E514EB"/>
    <w:rsid w:val="00E52823"/>
    <w:rsid w:val="00E52B10"/>
    <w:rsid w:val="00E600D0"/>
    <w:rsid w:val="00E7192D"/>
    <w:rsid w:val="00E75226"/>
    <w:rsid w:val="00E944FA"/>
    <w:rsid w:val="00E960DD"/>
    <w:rsid w:val="00E9797A"/>
    <w:rsid w:val="00EB0DB4"/>
    <w:rsid w:val="00EE0436"/>
    <w:rsid w:val="00EE5457"/>
    <w:rsid w:val="00F41324"/>
    <w:rsid w:val="00F57C12"/>
    <w:rsid w:val="00F609FD"/>
    <w:rsid w:val="00F64BD9"/>
    <w:rsid w:val="00F7052D"/>
    <w:rsid w:val="00F771E3"/>
    <w:rsid w:val="00F8162C"/>
    <w:rsid w:val="00F859AB"/>
    <w:rsid w:val="00F87FA0"/>
    <w:rsid w:val="00F950D0"/>
    <w:rsid w:val="00FA0110"/>
    <w:rsid w:val="00FA2C26"/>
    <w:rsid w:val="00FC3509"/>
    <w:rsid w:val="00FD1F12"/>
    <w:rsid w:val="00FD412B"/>
    <w:rsid w:val="00FF26C8"/>
    <w:rsid w:val="016D581F"/>
    <w:rsid w:val="017217ED"/>
    <w:rsid w:val="030F2BA7"/>
    <w:rsid w:val="03785193"/>
    <w:rsid w:val="04240CEE"/>
    <w:rsid w:val="065551D3"/>
    <w:rsid w:val="06C37561"/>
    <w:rsid w:val="0A236A5A"/>
    <w:rsid w:val="10992483"/>
    <w:rsid w:val="111D4539"/>
    <w:rsid w:val="13297F9C"/>
    <w:rsid w:val="134727C6"/>
    <w:rsid w:val="141A5102"/>
    <w:rsid w:val="15FE575C"/>
    <w:rsid w:val="17E463CF"/>
    <w:rsid w:val="19225CD9"/>
    <w:rsid w:val="1ADC05C7"/>
    <w:rsid w:val="1C4F5F81"/>
    <w:rsid w:val="1E911FB2"/>
    <w:rsid w:val="20F325AF"/>
    <w:rsid w:val="216F6F5C"/>
    <w:rsid w:val="22D04645"/>
    <w:rsid w:val="22E23E75"/>
    <w:rsid w:val="23695E2F"/>
    <w:rsid w:val="2555668E"/>
    <w:rsid w:val="25AF3A81"/>
    <w:rsid w:val="26FD4196"/>
    <w:rsid w:val="28753E78"/>
    <w:rsid w:val="28CD1EA7"/>
    <w:rsid w:val="29F7636C"/>
    <w:rsid w:val="2A2232BA"/>
    <w:rsid w:val="2C4F4CF2"/>
    <w:rsid w:val="32955A2A"/>
    <w:rsid w:val="32AE1BB2"/>
    <w:rsid w:val="36341C31"/>
    <w:rsid w:val="368076E6"/>
    <w:rsid w:val="378F5AE0"/>
    <w:rsid w:val="37F709A6"/>
    <w:rsid w:val="39E872E9"/>
    <w:rsid w:val="3ABE1FB8"/>
    <w:rsid w:val="3C753CC7"/>
    <w:rsid w:val="3F2C3B54"/>
    <w:rsid w:val="40990310"/>
    <w:rsid w:val="459870AF"/>
    <w:rsid w:val="45ED49CE"/>
    <w:rsid w:val="465B4CB0"/>
    <w:rsid w:val="46F0109E"/>
    <w:rsid w:val="47475A63"/>
    <w:rsid w:val="4E276A76"/>
    <w:rsid w:val="509017BA"/>
    <w:rsid w:val="50C71C9D"/>
    <w:rsid w:val="51482FC3"/>
    <w:rsid w:val="52830253"/>
    <w:rsid w:val="541C469D"/>
    <w:rsid w:val="5BE61B5E"/>
    <w:rsid w:val="5EB6743D"/>
    <w:rsid w:val="602D020F"/>
    <w:rsid w:val="64C67B5C"/>
    <w:rsid w:val="66F47EBC"/>
    <w:rsid w:val="67A06E73"/>
    <w:rsid w:val="681903E9"/>
    <w:rsid w:val="68823415"/>
    <w:rsid w:val="6898111C"/>
    <w:rsid w:val="6A485270"/>
    <w:rsid w:val="6D05415D"/>
    <w:rsid w:val="6DB5108E"/>
    <w:rsid w:val="6EB04486"/>
    <w:rsid w:val="6F66394D"/>
    <w:rsid w:val="73193673"/>
    <w:rsid w:val="74543F24"/>
    <w:rsid w:val="74BE328D"/>
    <w:rsid w:val="76EB68DB"/>
    <w:rsid w:val="780E0FCF"/>
    <w:rsid w:val="7E724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A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D0A40"/>
    <w:pPr>
      <w:jc w:val="left"/>
    </w:pPr>
  </w:style>
  <w:style w:type="paragraph" w:styleId="a4">
    <w:name w:val="Balloon Text"/>
    <w:basedOn w:val="a"/>
    <w:link w:val="Char0"/>
    <w:uiPriority w:val="99"/>
    <w:unhideWhenUsed/>
    <w:qFormat/>
    <w:rsid w:val="004D0A40"/>
    <w:rPr>
      <w:sz w:val="18"/>
      <w:szCs w:val="18"/>
    </w:rPr>
  </w:style>
  <w:style w:type="paragraph" w:styleId="a5">
    <w:name w:val="footer"/>
    <w:basedOn w:val="a"/>
    <w:link w:val="Char1"/>
    <w:uiPriority w:val="99"/>
    <w:unhideWhenUsed/>
    <w:qFormat/>
    <w:rsid w:val="004D0A4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D0A40"/>
    <w:pPr>
      <w:pBdr>
        <w:bottom w:val="single" w:sz="6" w:space="1" w:color="auto"/>
      </w:pBdr>
      <w:tabs>
        <w:tab w:val="center" w:pos="4153"/>
        <w:tab w:val="right" w:pos="8306"/>
      </w:tabs>
      <w:snapToGrid w:val="0"/>
      <w:jc w:val="center"/>
    </w:pPr>
    <w:rPr>
      <w:sz w:val="18"/>
      <w:szCs w:val="18"/>
    </w:rPr>
  </w:style>
  <w:style w:type="paragraph" w:styleId="a7">
    <w:name w:val="footnote text"/>
    <w:basedOn w:val="a"/>
    <w:uiPriority w:val="99"/>
    <w:unhideWhenUsed/>
    <w:qFormat/>
    <w:rsid w:val="004D0A40"/>
    <w:pPr>
      <w:snapToGrid w:val="0"/>
      <w:jc w:val="left"/>
    </w:pPr>
    <w:rPr>
      <w:sz w:val="18"/>
    </w:rPr>
  </w:style>
  <w:style w:type="paragraph" w:styleId="a8">
    <w:name w:val="Normal (Web)"/>
    <w:basedOn w:val="a"/>
    <w:qFormat/>
    <w:rsid w:val="004D0A40"/>
    <w:pPr>
      <w:widowControl/>
      <w:spacing w:before="100" w:beforeAutospacing="1" w:after="100" w:afterAutospacing="1"/>
      <w:jc w:val="left"/>
    </w:pPr>
    <w:rPr>
      <w:rFonts w:ascii="宋体" w:hAnsi="宋体"/>
      <w:kern w:val="0"/>
      <w:sz w:val="24"/>
      <w:szCs w:val="24"/>
    </w:rPr>
  </w:style>
  <w:style w:type="paragraph" w:styleId="a9">
    <w:name w:val="annotation subject"/>
    <w:basedOn w:val="a3"/>
    <w:next w:val="a3"/>
    <w:link w:val="Char3"/>
    <w:uiPriority w:val="99"/>
    <w:unhideWhenUsed/>
    <w:qFormat/>
    <w:rsid w:val="004D0A40"/>
    <w:rPr>
      <w:b/>
      <w:bCs/>
    </w:rPr>
  </w:style>
  <w:style w:type="character" w:styleId="aa">
    <w:name w:val="page number"/>
    <w:basedOn w:val="a0"/>
    <w:uiPriority w:val="99"/>
    <w:unhideWhenUsed/>
    <w:qFormat/>
    <w:rsid w:val="004D0A40"/>
  </w:style>
  <w:style w:type="character" w:styleId="ab">
    <w:name w:val="annotation reference"/>
    <w:uiPriority w:val="99"/>
    <w:unhideWhenUsed/>
    <w:qFormat/>
    <w:rsid w:val="004D0A40"/>
    <w:rPr>
      <w:sz w:val="21"/>
      <w:szCs w:val="21"/>
    </w:rPr>
  </w:style>
  <w:style w:type="character" w:styleId="ac">
    <w:name w:val="footnote reference"/>
    <w:uiPriority w:val="99"/>
    <w:unhideWhenUsed/>
    <w:qFormat/>
    <w:rsid w:val="004D0A40"/>
    <w:rPr>
      <w:vertAlign w:val="superscript"/>
    </w:rPr>
  </w:style>
  <w:style w:type="character" w:customStyle="1" w:styleId="Char0">
    <w:name w:val="批注框文本 Char"/>
    <w:link w:val="a4"/>
    <w:uiPriority w:val="99"/>
    <w:semiHidden/>
    <w:qFormat/>
    <w:rsid w:val="004D0A40"/>
    <w:rPr>
      <w:kern w:val="2"/>
      <w:sz w:val="18"/>
      <w:szCs w:val="18"/>
    </w:rPr>
  </w:style>
  <w:style w:type="character" w:customStyle="1" w:styleId="Char2">
    <w:name w:val="页眉 Char"/>
    <w:link w:val="a6"/>
    <w:uiPriority w:val="99"/>
    <w:semiHidden/>
    <w:qFormat/>
    <w:locked/>
    <w:rsid w:val="004D0A40"/>
    <w:rPr>
      <w:rFonts w:ascii="Times New Roman" w:hAnsi="Times New Roman" w:cs="Times New Roman" w:hint="default"/>
      <w:sz w:val="18"/>
      <w:szCs w:val="18"/>
    </w:rPr>
  </w:style>
  <w:style w:type="character" w:customStyle="1" w:styleId="Char3">
    <w:name w:val="批注主题 Char"/>
    <w:link w:val="a9"/>
    <w:uiPriority w:val="99"/>
    <w:semiHidden/>
    <w:qFormat/>
    <w:rsid w:val="004D0A40"/>
    <w:rPr>
      <w:b/>
      <w:bCs/>
      <w:kern w:val="2"/>
      <w:sz w:val="21"/>
      <w:szCs w:val="22"/>
    </w:rPr>
  </w:style>
  <w:style w:type="character" w:customStyle="1" w:styleId="Char1">
    <w:name w:val="页脚 Char"/>
    <w:link w:val="a5"/>
    <w:uiPriority w:val="99"/>
    <w:semiHidden/>
    <w:qFormat/>
    <w:locked/>
    <w:rsid w:val="004D0A40"/>
    <w:rPr>
      <w:rFonts w:ascii="Times New Roman" w:hAnsi="Times New Roman" w:cs="Times New Roman" w:hint="default"/>
      <w:sz w:val="18"/>
      <w:szCs w:val="18"/>
    </w:rPr>
  </w:style>
  <w:style w:type="character" w:customStyle="1" w:styleId="Char">
    <w:name w:val="批注文字 Char"/>
    <w:link w:val="a3"/>
    <w:uiPriority w:val="99"/>
    <w:qFormat/>
    <w:rsid w:val="004D0A40"/>
    <w:rPr>
      <w:kern w:val="2"/>
      <w:sz w:val="21"/>
      <w:szCs w:val="22"/>
    </w:rPr>
  </w:style>
  <w:style w:type="paragraph" w:customStyle="1" w:styleId="zhongyaotishi">
    <w:name w:val="zhongyaotishi"/>
    <w:basedOn w:val="a"/>
    <w:qFormat/>
    <w:rsid w:val="004D0A40"/>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zhangjiep">
    <w:name w:val="zhangjie_p"/>
    <w:basedOn w:val="a"/>
    <w:qFormat/>
    <w:rsid w:val="004D0A4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biaogeright1">
    <w:name w:val="biaoge_right1"/>
    <w:basedOn w:val="a"/>
    <w:qFormat/>
    <w:rsid w:val="004D0A4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right">
    <w:name w:val="biaoge_right"/>
    <w:basedOn w:val="a"/>
    <w:qFormat/>
    <w:rsid w:val="004D0A4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center">
    <w:name w:val="biaoge_center"/>
    <w:basedOn w:val="a"/>
    <w:qFormat/>
    <w:rsid w:val="004D0A4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msonormalfy">
    <w:name w:val="msonormalfy"/>
    <w:qFormat/>
    <w:rsid w:val="004D0A40"/>
    <w:pPr>
      <w:widowControl w:val="0"/>
      <w:jc w:val="center"/>
    </w:pPr>
    <w:rPr>
      <w:kern w:val="2"/>
      <w:sz w:val="33"/>
      <w:szCs w:val="22"/>
    </w:rPr>
  </w:style>
  <w:style w:type="paragraph" w:customStyle="1" w:styleId="biaogeleft">
    <w:name w:val="biaoge_left"/>
    <w:basedOn w:val="a"/>
    <w:qFormat/>
    <w:rsid w:val="004D0A4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dazhangjie">
    <w:name w:val="dazhangjie"/>
    <w:basedOn w:val="a"/>
    <w:qFormat/>
    <w:rsid w:val="004D0A4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zhangjiep2">
    <w:name w:val="zhangjie_p2"/>
    <w:basedOn w:val="a"/>
    <w:qFormat/>
    <w:rsid w:val="004D0A4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hide">
    <w:name w:val="hide"/>
    <w:basedOn w:val="a"/>
    <w:qFormat/>
    <w:rsid w:val="004D0A40"/>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qFormat/>
    <w:rsid w:val="004D0A40"/>
    <w:pPr>
      <w:widowControl/>
      <w:spacing w:before="100" w:beforeAutospacing="1" w:after="100" w:afterAutospacing="1"/>
      <w:jc w:val="left"/>
    </w:pPr>
    <w:rPr>
      <w:rFonts w:ascii="宋体" w:hAnsi="宋体" w:cs="宋体"/>
      <w:kern w:val="0"/>
      <w:sz w:val="24"/>
      <w:szCs w:val="24"/>
    </w:rPr>
  </w:style>
  <w:style w:type="paragraph" w:customStyle="1" w:styleId="msonormalnone">
    <w:name w:val="msonormal_none"/>
    <w:qFormat/>
    <w:rsid w:val="004D0A40"/>
    <w:pPr>
      <w:widowControl w:val="0"/>
    </w:pPr>
    <w:rPr>
      <w:kern w:val="2"/>
      <w:sz w:val="21"/>
      <w:szCs w:val="22"/>
    </w:rPr>
  </w:style>
  <w:style w:type="paragraph" w:customStyle="1" w:styleId="neirong">
    <w:name w:val="neirong"/>
    <w:basedOn w:val="a"/>
    <w:qFormat/>
    <w:rsid w:val="004D0A4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
    <w:name w:val="正文1"/>
    <w:qFormat/>
    <w:rsid w:val="004D0A40"/>
    <w:pPr>
      <w:jc w:val="both"/>
    </w:pPr>
    <w:rPr>
      <w:kern w:val="2"/>
      <w:sz w:val="21"/>
      <w:szCs w:val="21"/>
    </w:rPr>
  </w:style>
  <w:style w:type="paragraph" w:customStyle="1" w:styleId="Default">
    <w:name w:val="Default"/>
    <w:qFormat/>
    <w:rsid w:val="004D0A40"/>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422</Words>
  <Characters>2406</Characters>
  <Application>Microsoft Office Word</Application>
  <DocSecurity>0</DocSecurity>
  <Lines>20</Lines>
  <Paragraphs>5</Paragraphs>
  <ScaleCrop>false</ScaleCrop>
  <Company>微软中国</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2022-08-03T07:54:00Z</dcterms:created>
  <dc:creator>总行金融市场部本币投资交易部梅浩超</dc:creator>
  <cp:lastModifiedBy>yytx</cp:lastModifiedBy>
  <cp:lastPrinted>2019-09-11T00:56:00Z</cp:lastPrinted>
  <dcterms:modified xsi:type="dcterms:W3CDTF">2026-03-27T09:10:00Z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70A85B21218E4D28BF21800BB7D18235</vt:lpwstr>
  </property>
</Properties>
</file>