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幸福99添益（年年红）1年定开型2514期理财A款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幸福99添益（年年红）1年定开型2514期理财A款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TYG12M2514A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2026-05-13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2027-06-01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2026年5月6日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