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幸福99丰裕固收386天25068期理财A款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幸福99丰裕固收386天25068期理财A款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2026年4月29日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幸福99丰裕固收386天25068期理财A款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FYG25068A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Z7002225000118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2025-04-08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2026-04-29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1.0278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1.0278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2.60%-3.00%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2.6287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0.30%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11,261,173.58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2026年4月30日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