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苏银理财恒源乐享天添鑫1号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苏银理财恒源乐享天添鑫1号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2025年12月30日</w:t>
      </w:r>
      <w:r>
        <w:rPr>
          <w:rFonts w:ascii="楷体" w:eastAsia="楷体" w:hAnsi="楷体" w:cs="楷体" w:hint="eastAsia"/>
        </w:rPr>
        <w:t xml:space="preserve">成立，于</w:t>
      </w:r>
      <w:r>
        <w:rPr>
          <w:rFonts w:ascii="楷体" w:eastAsia="楷体" w:hAnsi="楷体" w:cs="楷体" w:hint="eastAsia"/>
          <w:spacing w:val="-7"/>
        </w:rPr>
        <w:t xml:space="preserve">2025年12月30日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苏银理财恒源乐享天添鑫1号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3,380,807,733.10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3,397,072,916.11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31000188000735887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3,397,128,428.55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苏银理财恒源乐享天添鑫1号A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苏银理财恒源乐享天添鑫1号F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苏银理财恒源乐享天添鑫1号G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1.005310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1.005310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苏银理财恒源乐享天添鑫1号H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1.005048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100.00%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100.00%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3,098,056,261.87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48,000,048.00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40,000,040.00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32,000,032.00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20,000,020.00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18,000,018.00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17,000,017.00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17,000,017.00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16,000,016.00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16,000,016.00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12,421,324.00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12,511,000.00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98,723.33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16,507.42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2,625,000.00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3,380,807,733.10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5,017,494.51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总体而言，一季度宏观环境对R1级固定收益产品运作构成一定挑战，但存款与短久期债券的组合仍保持了较好的流动性与安全性。</w:t>
      </w:r>
      <w:r>
        <w:rPr>
          <w:rFonts w:ascii="楷体" w:eastAsia="楷体" w:hAnsi="楷体" w:cs="楷体" w:hint="eastAsia"/>
          <w:spacing w:val="8"/>
          <w:sz w:val="21"/>
        </w:rPr>
        <w:br/>
      </w:r>
      <w:r>
        <w:rPr>
          <w:rFonts w:ascii="楷体" w:eastAsia="楷体" w:hAnsi="楷体" w:cs="楷体" w:hint="eastAsia"/>
          <w:spacing w:val="8"/>
          <w:sz w:val="21"/>
        </w:rPr>
        <w:t xml:space="preserve">    本产品为R1风险等级产品，以低波资产筑底，主投存款、同业存单、货币市场工具等低波动资产，部分配置短久期优质高评级债券，增加组合收益来源，产品严格控制组合久期和回撤，在兼顾流动性的同时，力争为广大投资者创造稳健的投资回报。</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未来，本产品将在控制信用风险的前提下，积极防范预期差带来的市场波动，适时把握市场机会，力争在流动性与安全性基础上提升收益空间。</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存单类资产以及短久期优质高评级债券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2026-04-17T01:35:25Z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