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苏银理财恒源天添鑫1号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苏银理财恒源天添鑫1号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2023年09月26日</w:t>
      </w:r>
      <w:r>
        <w:rPr>
          <w:rFonts w:ascii="楷体" w:eastAsia="楷体" w:hAnsi="楷体" w:cs="楷体" w:hint="eastAsia"/>
        </w:rPr>
        <w:t xml:space="preserve">成立，于</w:t>
      </w:r>
      <w:r>
        <w:rPr>
          <w:rFonts w:ascii="楷体" w:eastAsia="楷体" w:hAnsi="楷体" w:cs="楷体" w:hint="eastAsia"/>
          <w:spacing w:val="-7"/>
        </w:rPr>
        <w:t xml:space="preserve">2023年09月26日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苏银理财恒源天添鑫1号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9,178,052,667.91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9,690,586,031.19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31000188000552866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9,791,650,016.93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101.04%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苏银理财恒源天添鑫1号A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1.055212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1.055212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1.056966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1.056966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1.055365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1.055365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1.053886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1.053886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1.052746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1.052746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1.055202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1.055202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1.057680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1.057680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1.053650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1.053650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苏银理财恒源天添鑫1号（代发专享）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1.055846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1.055846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中国人民银行公布的7天通知存款利率+0.30%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40.06%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40.06%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59.94%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2,563,682,220.61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406,186,535.79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308,771,803.55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26建设银行CD026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198,228,353.85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26浙商银行CD034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197,172,595.62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嘉合慧康63个月定开债券A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149,867,752.06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中国农业银行杭州上泗支行202501171498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148,619,888.24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25农业银行CD183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115,089,452.17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25光大银行CD112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103,699,185.60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26淮安开发PPN001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100,570,279.45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032601452.IB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26淮安淮安PPN002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032680012.IB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26淮安开发PPN001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399,900,185.00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83,827,707.00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8,000,008.00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500,596.51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1,787,234.78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105,906,127.40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9,178,052,667.91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9,327,741,917.64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从基本面来看，2026年1-2月经济开局良好，投资方面，1-2月固定资产投资累计同比+1.8%，较2025年明显回升，其中，1-2月地产投资累计同比-11.1%，降幅比上年全年收窄6.1个百分点，符合每年一季度季节性回升的规律；制造业投资有所改善，1-2月制造业投资累计同比+3.1%，较前值上升2.5个百分点，BCI指数也出现回升，企业预期有所改善；基建投资同比转正，1-2月广义基建同比增速9.8%、狭义基建增11.4%，与建筑业PMI和水泥发运率、沥青开工率回升高频数据表现有所背离，可持续性有待观察。消费方面，1-2月社会消费品零售同比+2.8%，较上月上升1.9个百分点，地产后周期和春节相关消费改善。出口方面，1-2月，以美元计价的中国出口同比增长21.8%，整体呈现强劲韧性，分国别来看，一带一路、RCEP红利持续释放，东盟、欧盟成压舱石贡献主要增量，对冲对美部分的拖累，分产品来看，受益于AI投资浪潮和产品竞争力，出口科技含量稳步提高。</w:t>
      </w:r>
      <w:r>
        <w:rPr>
          <w:rFonts w:ascii="楷体" w:eastAsia="楷体" w:hAnsi="楷体" w:cs="楷体" w:hint="eastAsia"/>
          <w:spacing w:val="8"/>
          <w:sz w:val="21"/>
        </w:rPr>
        <w:br/>
      </w:r>
      <w:r>
        <w:rPr>
          <w:rFonts w:ascii="楷体" w:eastAsia="楷体" w:hAnsi="楷体" w:cs="楷体" w:hint="eastAsia"/>
          <w:spacing w:val="8"/>
          <w:sz w:val="21"/>
        </w:rPr>
        <w:t xml:space="preserve">　　一季度央行延续支持性货币政策，继续助力稳增长，银行间流动性均衡偏松，资金利率整体平稳。公开市场操作方面，一季度逆回购到期107312亿元，投放96882亿元；MLF到期9500亿元，投放2000亿元；国库定存到期1500亿元，投放2500亿元；买断式逆回购到期16000亿元，投放13000亿元。</w:t>
      </w:r>
      <w:r>
        <w:rPr>
          <w:rFonts w:ascii="楷体" w:eastAsia="楷体" w:hAnsi="楷体" w:cs="楷体" w:hint="eastAsia"/>
          <w:spacing w:val="8"/>
          <w:sz w:val="21"/>
        </w:rPr>
        <w:br/>
      </w:r>
      <w:r>
        <w:rPr>
          <w:rFonts w:ascii="楷体" w:eastAsia="楷体" w:hAnsi="楷体" w:cs="楷体" w:hint="eastAsia"/>
          <w:spacing w:val="8"/>
          <w:sz w:val="21"/>
        </w:rPr>
        <w:t xml:space="preserve">　　市场方面，回顾2026年一季度，债市受央行操作、权益市场、地缘政治等多因素驱动，呈震荡走势，长短端收益率分化显著，10年国债收益率整体延续了去年四季度以来的震荡格局，始终在1.80%-1.90%区间内反复拉锯。3月油价飙升推升通胀预期，长端收益率上行，而资金面宽松支撑短端持续下行，最终收益率曲线呈陡峭化特征。</w:t>
      </w:r>
      <w:r>
        <w:rPr>
          <w:rFonts w:ascii="楷体" w:eastAsia="楷体" w:hAnsi="楷体" w:cs="楷体" w:hint="eastAsia"/>
          <w:spacing w:val="8"/>
          <w:sz w:val="21"/>
        </w:rPr>
        <w:br/>
      </w:r>
      <w:r>
        <w:rPr>
          <w:rFonts w:ascii="楷体" w:eastAsia="楷体" w:hAnsi="楷体" w:cs="楷体" w:hint="eastAsia"/>
          <w:spacing w:val="8"/>
          <w:sz w:val="21"/>
        </w:rPr>
        <w:t xml:space="preserve">　　展望二季度，市场当前核心矛盾将仍在外部地缘，地缘局势明朗之前，预计市场情绪将保持谨慎；同时二季度是经济基本面修复的观察期，叠加四月中或将会公布超长国债发行计划，后续波动率可能进一步抬升，当前围绕维持适当久期和杠杆、积极运用信用策略的核心思路，兼顾收益与风险控制，灵活把握结构性机会。</w:t>
      </w:r>
      <w:r>
        <w:rPr>
          <w:rFonts w:ascii="楷体" w:eastAsia="楷体" w:hAnsi="楷体" w:cs="楷体" w:hint="eastAsia"/>
          <w:spacing w:val="8"/>
          <w:sz w:val="21"/>
        </w:rPr>
        <w:br/>
      </w:r>
      <w:r>
        <w:rPr>
          <w:rFonts w:ascii="楷体" w:eastAsia="楷体" w:hAnsi="楷体" w:cs="楷体" w:hint="eastAsia"/>
          <w:spacing w:val="8"/>
          <w:sz w:val="21"/>
        </w:rPr>
        <w:t xml:space="preserve">　　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我司针对产品特性，建立了完备的风险管控体系，对信用风险、市场风险和流动性风险均有了充分的管理预案。信用风险方面，我司定期排查持仓债券，目前持仓债券信用情况良好。债券市场扰动因素逐渐增多，叠加股市回暖带动市场风险偏好回升，股债跷跷板效应明显，债券市场期间波动加大或为常态，鉴于产品每日开放的特点，将控制产品加权久期，确保产品稳健运行。</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2026-04-17T03:19:42Z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