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苏银理财恒源最短持有7天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苏银理财恒源最短持有7天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2023年07月20日</w:t>
      </w:r>
      <w:r>
        <w:rPr>
          <w:rFonts w:ascii="楷体" w:eastAsia="楷体" w:hAnsi="楷体" w:cs="楷体" w:hint="eastAsia"/>
        </w:rPr>
        <w:t xml:space="preserve">成立，于</w:t>
      </w:r>
      <w:r>
        <w:rPr>
          <w:rFonts w:ascii="楷体" w:eastAsia="楷体" w:hAnsi="楷体" w:cs="楷体" w:hint="eastAsia"/>
          <w:spacing w:val="-7"/>
        </w:rPr>
        <w:t xml:space="preserve">2023年07月20日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苏银理财恒源最短持有7天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15,111,455,660.78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16,038,869,444.41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31000188000545047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16,300,119,569.33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101.63%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苏银理财恒源最短持有7天A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1.061018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1.061018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1.063418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1.063320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1.063320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1.065600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1.065600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1.061193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1.057785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1.057785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1.060946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1.060946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1.061923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1.061923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苏银理财恒源最短持有7天（工行私银专享）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1.061441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1.061441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1.45%-2.55%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苏银理财恒源最短持有7天（工行专享）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1.060747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1.060747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1.40%-2.50%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苏银理财恒源最短持有7天（天府·优选）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1.061018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1.061018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苏银理财恒源最短持有7天（芙蓉锦程·优选）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1.060689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1.060689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48.50%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48.63%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51.37%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1,666,263,807.26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589,272,540.88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501,769,862.74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341,681,843.88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300,391,232.88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25建设银行CD282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298,837,444.11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中国农业银行股份有限公司南京城北支行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285,598,396.63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283,632,178.08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25农业银行CD150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221,402,946.22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206,249,960.34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032601500.IB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26高邮交投PPN001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127,888,405.00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306,462,154.00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58,666,854.00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623,396.50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843,739.97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771.80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491,560,149.63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357,010,113.51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15,111,455,660.78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17,170,240,036.05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从基本面来看，2026年1-2月经济开局良好，投资方面，1-2月固定资产投资累计同比+1.8%，较2025年明显回升，制造业投资有所改善，1-2月制造业投资累计同比+3.1%，较前值上升2.5个百分点；基建投资同比转正，1-2月广义基建同比增速9.8%。消费方面，1-2月社会消费品零售同比+2.8%，较上月上升1.9个百分点，地产后周期和春节相关消费改善。出口方面，1-2月，以美元计价的中国出口同比增长21.8%，整体呈现强劲韧性，分国别来看，一带一路、RCEP红利持续释放，东盟、欧盟成压舱石贡献主要增量，对冲对美部分的拖累，分产品来看，受益于AI投资浪潮和产品竞争力，出口科技含量稳步提高。</w:t>
      </w:r>
      <w:r>
        <w:rPr>
          <w:rFonts w:ascii="楷体" w:eastAsia="楷体" w:hAnsi="楷体" w:cs="楷体" w:hint="eastAsia"/>
          <w:spacing w:val="8"/>
          <w:sz w:val="21"/>
        </w:rPr>
        <w:br/>
      </w:r>
      <w:r>
        <w:rPr>
          <w:rFonts w:ascii="楷体" w:eastAsia="楷体" w:hAnsi="楷体" w:cs="楷体" w:hint="eastAsia"/>
          <w:spacing w:val="8"/>
          <w:sz w:val="21"/>
        </w:rPr>
        <w:t xml:space="preserve">    一季度央行延续支持性货币政策，继续助力稳增长，银行间流动性均衡偏松，资金利率整体平稳。市场方面，回顾2026年一季度，债市受央行操作、权益市场、地缘政治等多因素驱动，呈震荡走势，长短端收益率分化显著，10年国债收益率整体延续了去年四季度以来的震荡格局，始终在1.80%-1.90%区间内反复拉锯。3月油价飙升推升通胀预期，长端收益率上行，而资金面宽松支撑短端持续下行，最终收益率曲线呈陡峭化特征。</w:t>
      </w:r>
      <w:r>
        <w:rPr>
          <w:rFonts w:ascii="楷体" w:eastAsia="楷体" w:hAnsi="楷体" w:cs="楷体" w:hint="eastAsia"/>
          <w:spacing w:val="8"/>
          <w:sz w:val="21"/>
        </w:rPr>
        <w:br/>
      </w:r>
      <w:r>
        <w:rPr>
          <w:rFonts w:ascii="楷体" w:eastAsia="楷体" w:hAnsi="楷体" w:cs="楷体" w:hint="eastAsia"/>
          <w:spacing w:val="8"/>
          <w:sz w:val="21"/>
        </w:rPr>
        <w:t xml:space="preserve">    本产品以存款、回购等低波资产筑底，配置部分优质高评级信用债券，合理控制久期，适时参与确定性较强的存单、短债等品种的交易机会，增厚产品收益，进退有度，严控回撤，兼顾低风险偏好和收益性。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二季度，市场当前核心矛盾将仍在外部地缘，地缘局势明朗之前，预计市场情绪将保持谨慎；同时二季度是经济基本面修复的观察期，叠加四月中或将会公布超长国债发行计划，后续波动率可能进一步抬升，我们也将紧密跟踪国内外经济形势和政策变化，加强投资分析研究，继续采取低波动、强稳健的投资策略，加强久期管理和流动性管理，保持合理弹性，严格控制回撤，灵活把握结构性机会，通过精细化的资产配置、头寸管理和风险控制，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在资产配置上以存款类资产以及优质标准化债权类资产为主，变现能力较强，并通过资产久期管理、流动性指标监控等多项措施，维持流动性处于合理充裕水平，确保本产品资产的变现能力与投资者赎回需求相匹配。</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5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5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5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6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