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b/>
          <w:sz w:val="36"/>
          <w:szCs w:val="36"/>
        </w:rPr>
      </w:pPr>
      <w:bookmarkStart w:id="0" w:name="_GoBack"/>
      <w:bookmarkEnd w:id="0"/>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苏银理财启源现金2号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rPr>
      </w:pPr>
      <w:r>
        <w:rPr>
          <w:rFonts w:ascii="楷体" w:eastAsia="楷体" w:hAnsi="楷体" w:cs="楷体" w:hint="eastAsia"/>
        </w:rPr>
        <w:t xml:space="preserve">“</w:t>
      </w:r>
      <w:r>
        <w:rPr>
          <w:rFonts w:ascii="楷体" w:eastAsia="楷体" w:hAnsi="楷体" w:cs="楷体" w:hint="eastAsia"/>
          <w:spacing w:val="-7"/>
        </w:rPr>
        <w:t xml:space="preserve">苏银理财启源现金2号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2023年02月16日</w:t>
      </w:r>
      <w:r>
        <w:rPr>
          <w:rFonts w:ascii="楷体" w:eastAsia="楷体" w:hAnsi="楷体" w:cs="楷体" w:hint="eastAsia"/>
        </w:rPr>
        <w:t xml:space="preserve">成立，于</w:t>
      </w:r>
      <w:r>
        <w:rPr>
          <w:rFonts w:ascii="楷体" w:eastAsia="楷体" w:hAnsi="楷体" w:cs="楷体" w:hint="eastAsia"/>
          <w:spacing w:val="-7"/>
        </w:rPr>
        <w:t xml:space="preserve">2023年02月16日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rPr>
      </w:pPr>
    </w:p>
    <w:p>
      <w:pPr>
        <w:pStyle w:val="Heading3"/>
        <w:rPr>
          <w:rFonts w:ascii="楷体" w:hAnsi="楷体" w:cs="楷体"/>
        </w:rPr>
      </w:pPr>
      <w:r>
        <w:rPr>
          <w:rFonts w:ascii="楷体" w:hAnsi="楷体" w:cs="楷体" w:hint="eastAsia"/>
        </w:rPr>
        <w:t xml:space="preserve">一</w:t>
      </w:r>
      <w:bookmarkStart w:id="1" w:name="_Toc535504139"/>
      <w:r>
        <w:rPr>
          <w:rFonts w:ascii="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sz w:val="22"/>
                <w:szCs w:val="22"/>
                <w:highlight w:val="yellow"/>
              </w:rPr>
            </w:pPr>
            <w:r>
              <w:rPr>
                <w:rFonts w:hint="eastAsia"/>
                <w:spacing w:val="-6"/>
                <w:sz w:val="22"/>
                <w:szCs w:val="22"/>
              </w:rPr>
              <w:t xml:space="preserve">苏银理财启源现金2号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sz w:val="22"/>
                <w:szCs w:val="22"/>
                <w:highlight w:val="yellow"/>
              </w:rPr>
            </w:pPr>
            <w:r>
              <w:rPr>
                <w:rFonts w:hint="eastAsia"/>
                <w:spacing w:val="-1"/>
                <w:sz w:val="22"/>
                <w:szCs w:val="22"/>
              </w:rPr>
              <w:t xml:space="preserve">Z7003122000162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sz w:val="22"/>
                <w:szCs w:val="22"/>
                <w:highlight w:val="yellow"/>
              </w:rPr>
            </w:pPr>
            <w:r>
              <w:rPr>
                <w:rFonts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sz w:val="22"/>
                <w:szCs w:val="22"/>
                <w:highlight w:val="yellow"/>
              </w:rPr>
            </w:pPr>
            <w:r>
              <w:rPr>
                <w:rFonts w:hint="eastAsia"/>
                <w:spacing w:val="-1"/>
                <w:sz w:val="22"/>
                <w:szCs w:val="22"/>
              </w:rPr>
              <w:t xml:space="preserve">12,687,536,310.80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sz w:val="22"/>
                <w:szCs w:val="22"/>
                <w:highlight w:val="yellow"/>
              </w:rPr>
            </w:pPr>
            <w:r>
              <w:rPr>
                <w:rFonts w:hint="eastAsia"/>
                <w:spacing w:val="-1"/>
                <w:sz w:val="22"/>
                <w:szCs w:val="22"/>
              </w:rPr>
              <w:t xml:space="preserve">12,687,536,310.80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sz w:val="22"/>
                <w:szCs w:val="22"/>
                <w:highlight w:val="yellow"/>
              </w:rPr>
            </w:pPr>
            <w:r>
              <w:rPr>
                <w:rFonts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sz w:val="22"/>
                <w:szCs w:val="22"/>
                <w:highlight w:val="yellow"/>
              </w:rPr>
            </w:pPr>
            <w:r>
              <w:rPr>
                <w:rFonts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sz w:val="22"/>
                <w:szCs w:val="22"/>
                <w:highlight w:val="yellow"/>
              </w:rPr>
            </w:pPr>
            <w:r>
              <w:rPr>
                <w:rFonts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sz w:val="22"/>
                <w:szCs w:val="22"/>
                <w:highlight w:val="yellow"/>
              </w:rPr>
            </w:pPr>
            <w:r>
              <w:rPr>
                <w:rFonts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sz w:val="22"/>
                <w:szCs w:val="22"/>
                <w:highlight w:val="yellow"/>
              </w:rPr>
            </w:pPr>
            <w:r>
              <w:rPr>
                <w:rFonts w:hint="eastAsia"/>
                <w:spacing w:val="-1"/>
                <w:sz w:val="22"/>
                <w:szCs w:val="22"/>
              </w:rPr>
              <w:t xml:space="preserve">31000188000514924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sz w:val="22"/>
                <w:szCs w:val="22"/>
              </w:rPr>
            </w:pPr>
            <w:r>
              <w:rPr>
                <w:rFonts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sz w:val="22"/>
                <w:szCs w:val="22"/>
              </w:rPr>
            </w:pPr>
            <w:r>
              <w:rPr>
                <w:rFonts w:hint="eastAsia"/>
                <w:spacing w:val="-1"/>
                <w:sz w:val="22"/>
                <w:szCs w:val="22"/>
              </w:rPr>
              <w:t xml:space="preserve">12,688,696,081.30</w:t>
            </w:r>
            <w:r>
              <w:rPr>
                <w:rFonts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sz w:val="22"/>
                <w:szCs w:val="22"/>
              </w:rPr>
            </w:pPr>
            <w:r>
              <w:rPr>
                <w:rFonts w:hint="eastAsia"/>
                <w:spacing w:val="-4"/>
                <w:sz w:val="22"/>
                <w:szCs w:val="22"/>
              </w:rPr>
              <w:t xml:space="preserve">100.01%</w:t>
            </w:r>
          </w:p>
        </w:tc>
      </w:tr>
    </w:tbl>
    <w:p>
      <w:pPr>
        <w:pStyle w:val="标题4"/>
        <w:rPr>
          <w:rFonts w:ascii="楷体" w:hAnsi="楷体" w:cs="楷体"/>
        </w:rPr>
      </w:pPr>
    </w:p>
    <w:p>
      <w:pPr>
        <w:pStyle w:val="Heading3"/>
        <w:rPr>
          <w:rFonts w:ascii="楷体" w:hAnsi="楷体" w:cs="楷体"/>
        </w:rPr>
      </w:pPr>
      <w:r>
        <w:rPr>
          <w:rFonts w:ascii="楷体" w:hAnsi="楷体" w:cs="楷体" w:hint="eastAsia"/>
        </w:rPr>
        <w:t xml:space="preserve">二、产品收益与业绩比较基准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085"/>
        <w:gridCol w:w="1500"/>
        <w:gridCol w:w="1665"/>
        <w:gridCol w:w="1861"/>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报告日期</w:t>
            </w:r>
          </w:p>
        </w:tc>
        <w:tc>
          <w:tcPr>
            <w:tcW w:w="2085"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销售名称</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每万份收益</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七日年化收益率</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2026-03-31</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苏银理财启源现金2号A</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0.4187</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1.51%</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苏银理财启源现金2号B</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0.4159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1.50%</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苏银理财启源现金2号DG</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0.4680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1.69%</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苏银理财启源现金2号DG2</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0.4929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1.71%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苏银理财启源现金2号JS鑫福款</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0.5578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1.76%</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苏银理财启源现金2号K</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0.4187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苏银理财启源现金2号N</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0.4186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苏银理财启源现金2号P</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0.4187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苏银理财启源现金2号Q</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0.4187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苏银理财启源现金2号S</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0.4187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1.78%</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苏银理财启源现金2号T</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苏银理财启源现金2号W</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0.3365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1.20%</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苏银理财启源现金2号X</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0.4187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bl>
    <w:p>
      <w:pPr>
        <w:rPr>
          <w:rFonts w:ascii="楷体" w:eastAsia="楷体" w:hAnsi="楷体" w:cs="楷体"/>
        </w:rPr>
      </w:pPr>
    </w:p>
    <w:p>
      <w:pPr>
        <w:rPr>
          <w:rFonts w:ascii="楷体" w:eastAsia="楷体" w:hAnsi="楷体" w:cs="楷体"/>
          <w:sz w:val="21"/>
          <w:szCs w:val="21"/>
        </w:rPr>
      </w:pPr>
      <w:r>
        <w:rPr>
          <w:rFonts w:ascii="楷体" w:eastAsia="楷体" w:hAnsi="楷体" w:cs="楷体" w:hint="eastAsia"/>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rPr>
      </w:pPr>
    </w:p>
    <w:p>
      <w:pPr>
        <w:pStyle w:val="Heading3"/>
        <w:ind w:left="0"/>
        <w:rPr>
          <w:rFonts w:ascii="楷体" w:hAnsi="楷体" w:cs="楷体"/>
        </w:rPr>
      </w:pPr>
      <w:r>
        <w:rPr>
          <w:rFonts w:ascii="楷体" w:hAnsi="楷体" w:cs="楷体" w:hint="eastAsia"/>
        </w:rPr>
        <w:t xml:space="preserve">三、产品投资组合情况</w:t>
      </w:r>
    </w:p>
    <w:p>
      <w:pPr>
        <w:pStyle w:val="Heading3"/>
        <w:rPr>
          <w:rFonts w:ascii="楷体" w:hAnsi="楷体" w:cs="楷体"/>
          <w:b w:val="0"/>
          <w:sz w:val="21"/>
        </w:rPr>
      </w:pPr>
      <w:r>
        <w:rPr>
          <w:rFonts w:ascii="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59"/>
        <w:gridCol w:w="2644"/>
        <w:gridCol w:w="2670"/>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序号</w:t>
            </w:r>
          </w:p>
        </w:tc>
        <w:tc>
          <w:tcPr>
            <w:tcW w:w="2259"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直接投资占总资产的比例</w:t>
            </w:r>
          </w:p>
        </w:tc>
        <w:tc>
          <w:tcPr>
            <w:tcW w:w="2670"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1</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62.00%</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38.00%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2986" w:type="dxa"/>
            <w:gridSpan w:val="2"/>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合计</w:t>
            </w:r>
          </w:p>
        </w:tc>
        <w:tc>
          <w:tcPr>
            <w:tcW w:w="2644" w:type="dxa"/>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62.00%</w:t>
            </w:r>
          </w:p>
        </w:tc>
        <w:tc>
          <w:tcPr>
            <w:tcW w:w="2670" w:type="dxa"/>
            <w:shd w:val="clear" w:color="auto" w:fill="FFFFFF"/>
            <w:vAlign w:val="center"/>
          </w:tcPr>
          <w:p>
            <w:pPr>
              <w:jc w:val="center"/>
              <w:rPr>
                <w:rFonts w:ascii="楷体" w:eastAsia="楷体" w:hAnsi="楷体" w:cs="楷体"/>
                <w:sz w:val="22"/>
                <w:szCs w:val="22"/>
              </w:rPr>
            </w:pPr>
            <w:r>
              <w:rPr>
                <w:rFonts w:ascii="楷体" w:eastAsia="楷体" w:hAnsi="楷体" w:cs="楷体" w:hint="eastAsia"/>
                <w:sz w:val="22"/>
                <w:szCs w:val="22"/>
              </w:rPr>
              <w:t xml:space="preserve">38.00%</w:t>
            </w:r>
          </w:p>
        </w:tc>
      </w:tr>
    </w:tbl>
    <w:p>
      <w:pPr>
        <w:rPr>
          <w:rFonts w:ascii="楷体" w:eastAsia="楷体" w:hAnsi="楷体" w:cs="楷体"/>
        </w:rPr>
      </w:pPr>
    </w:p>
    <w:p>
      <w:pPr>
        <w:pStyle w:val="Heading3"/>
        <w:ind w:left="0"/>
        <w:rPr>
          <w:rFonts w:ascii="楷体" w:hAnsi="楷体" w:cs="楷体"/>
          <w:b w:val="0"/>
          <w:sz w:val="21"/>
        </w:rPr>
      </w:pPr>
      <w:r>
        <w:rPr>
          <w:rFonts w:ascii="楷体" w:hAnsi="楷体" w:cs="楷体" w:hint="eastAsia"/>
          <w:b w:val="0"/>
          <w:sz w:val="21"/>
        </w:rPr>
        <w:t xml:space="preserve">（二）期末理财产品持有的前十项资产</w:t>
      </w:r>
    </w:p>
    <w:tbl>
      <w:tblPr>
        <w:tblStyle w:val="TableNormal"/>
        <w:tblW w:w="861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2,700,052,298.61</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21.19%</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红土创新优淳货币B</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390,914,738.84</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3.07%</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25农发清发02</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300,233,662.78</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2.36%</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26杭州银行CD024</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197,351,749.58</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1.55%</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24农发清发22</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192,206,425.13</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1.51%</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上银慧增利货币B</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185,332,209.35</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1.45%</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银行存款20251021</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151,134,000.00</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1.19%</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银行存款20251201</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150,841,957.93</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150,120,104.28</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泰信天天收益货币B</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141,952,023.74</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1.11%</w:t>
            </w:r>
          </w:p>
        </w:tc>
      </w:tr>
    </w:tbl>
    <w:p>
      <w:pPr>
        <w:pStyle w:val="标题4"/>
        <w:rPr>
          <w:rFonts w:ascii="楷体" w:hAnsi="楷体" w:cs="楷体"/>
        </w:rPr>
      </w:pPr>
    </w:p>
    <w:p>
      <w:pPr>
        <w:pStyle w:val="Heading3"/>
        <w:numPr>
          <w:ilvl w:val="0"/>
          <w:numId w:val="3"/>
        </w:numPr>
        <w:rPr>
          <w:rFonts w:ascii="楷体" w:hAnsi="楷体" w:cs="楷体"/>
          <w:b w:val="0"/>
          <w:sz w:val="21"/>
        </w:rPr>
      </w:pPr>
      <w:r>
        <w:rPr>
          <w:rFonts w:ascii="楷体" w:hAnsi="楷体" w:cs="楷体" w:hint="eastAsia"/>
          <w:b w:val="0"/>
          <w:sz w:val="21"/>
        </w:rPr>
        <w:t xml:space="preserve">非标资产情况</w:t>
      </w:r>
    </w:p>
    <w:p>
      <w:pPr>
        <w:ind w:firstLine="220" w:firstLineChars="100"/>
        <w:rPr>
          <w:rFonts w:ascii="楷体" w:eastAsia="楷体" w:hAnsi="楷体" w:cs="楷体"/>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spacing w:line="320" w:lineRule="exact"/>
        <w:ind w:firstLine="220" w:firstLineChars="100"/>
        <w:rPr>
          <w:rFonts w:ascii="楷体" w:eastAsia="楷体" w:hAnsi="楷体" w:cs="楷体"/>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pStyle w:val="Heading3"/>
        <w:numPr>
          <w:ilvl w:val="0"/>
          <w:numId w:val="3"/>
        </w:numPr>
        <w:ind w:left="120" w:firstLine="0" w:leftChars="0" w:firstLineChars="0"/>
        <w:rPr>
          <w:rFonts w:ascii="楷体" w:hAnsi="楷体" w:cs="楷体" w:hint="eastAsia"/>
          <w:b w:val="0"/>
          <w:sz w:val="21"/>
        </w:rPr>
      </w:pPr>
      <w:r>
        <w:rPr>
          <w:rFonts w:ascii="楷体" w:hAnsi="楷体" w:cs="楷体" w:hint="eastAsia"/>
          <w:b w:val="0"/>
          <w:sz w:val="21"/>
        </w:rPr>
        <w:t xml:space="preserve">关联交易情况</w:t>
      </w:r>
    </w:p>
    <w:p>
      <w:pPr>
        <w:spacing w:line="320" w:lineRule="exact"/>
        <w:ind w:firstLine="220" w:firstLineChars="100"/>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072610043.IB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26东吴证券CP001</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10,000,000.00</w:t>
            </w:r>
          </w:p>
        </w:tc>
      </w:tr>
    </w:tbl>
    <w:p>
      <w:pPr>
        <w:rPr>
          <w:rFonts w:ascii="楷体" w:eastAsia="楷体" w:hAnsi="楷体" w:cs="楷体"/>
        </w:rPr>
      </w:pPr>
    </w:p>
    <w:p>
      <w:pPr>
        <w:ind w:firstLine="220" w:firstLineChars="100"/>
        <w:rPr>
          <w:rFonts w:ascii="楷体" w:eastAsia="楷体" w:hAnsi="楷体" w:cs="楷体"/>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00"/>
        <w:gridCol w:w="2191"/>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东吴证券股份有限公司</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072610043.IB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26东吴证券CP001</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10,000,000.00</w:t>
            </w:r>
          </w:p>
        </w:tc>
      </w:tr>
    </w:tbl>
    <w:p>
      <w:pPr>
        <w:rPr>
          <w:rFonts w:ascii="楷体" w:eastAsia="楷体" w:hAnsi="楷体" w:cs="楷体"/>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金融工具名称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sz w:val="22"/>
          <w:szCs w:val="24"/>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15"/>
        <w:gridCol w:w="3540"/>
        <w:gridCol w:w="3166"/>
      </w:tblGrid>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1,613,267.99</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543,304.26</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1,347,360,842.36</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0.00</w:t>
            </w:r>
          </w:p>
        </w:tc>
      </w:tr>
    </w:tbl>
    <w:p>
      <w:pPr>
        <w:pStyle w:val="标题4"/>
        <w:rPr>
          <w:rFonts w:ascii="楷体" w:hAnsi="楷体" w:cs="楷体" w:hint="eastAsia"/>
          <w:sz w:val="21"/>
          <w:szCs w:val="21"/>
        </w:rPr>
      </w:pPr>
      <w:r>
        <w:rPr>
          <w:rFonts w:ascii="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1,207,900.22</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hAnsi="楷体" w:cs="楷体" w:hint="eastAsia"/>
          <w:sz w:val="21"/>
          <w:szCs w:val="21"/>
        </w:rPr>
      </w:pPr>
    </w:p>
    <w:p>
      <w:pPr>
        <w:rPr>
          <w:rFonts w:ascii="楷体" w:eastAsia="楷体" w:hAnsi="楷体" w:cs="楷体"/>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ind w:firstLine="420" w:firstLineChars="200"/>
        <w:rPr>
          <w:rFonts w:ascii="楷体" w:eastAsia="楷体" w:hAnsi="楷体" w:cs="楷体"/>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bCs/>
          <w:kern w:val="0"/>
          <w:szCs w:val="21"/>
        </w:rPr>
      </w:pPr>
    </w:p>
    <w:p>
      <w:pPr>
        <w:rPr>
          <w:rFonts w:ascii="楷体" w:eastAsia="楷体" w:hAnsi="楷体" w:cs="楷体"/>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12,687,536,310.80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9,548,080,150.63</w:t>
            </w:r>
          </w:p>
        </w:tc>
      </w:tr>
    </w:tbl>
    <w:p>
      <w:pPr>
        <w:pStyle w:val="标题4"/>
        <w:rPr>
          <w:rFonts w:ascii="楷体" w:hAnsi="楷体" w:cs="楷体"/>
        </w:rPr>
      </w:pPr>
    </w:p>
    <w:p>
      <w:pPr>
        <w:pStyle w:val="标题4"/>
        <w:rPr>
          <w:rFonts w:ascii="楷体" w:hAnsi="楷体" w:cs="楷体"/>
          <w:sz w:val="22"/>
          <w:szCs w:val="24"/>
        </w:rPr>
      </w:pPr>
      <w:r>
        <w:rPr>
          <w:rFonts w:ascii="楷体" w:hAnsi="楷体" w:cs="楷体" w:hint="eastAsia"/>
          <w:sz w:val="22"/>
          <w:szCs w:val="24"/>
        </w:rPr>
        <w:t xml:space="preserve">（七）报告期内单一投资者持有产品份额比例达到或者超过总份额20%的情形</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35"/>
        <w:gridCol w:w="1725"/>
        <w:gridCol w:w="1980"/>
        <w:gridCol w:w="1905"/>
        <w:gridCol w:w="16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pStyle w:val="标题4"/>
              <w:jc w:val="center"/>
              <w:rPr>
                <w:rFonts w:ascii="楷体" w:hAnsi="楷体" w:cs="楷体"/>
                <w:sz w:val="22"/>
                <w:szCs w:val="24"/>
              </w:rPr>
            </w:pPr>
            <w:r>
              <w:rPr>
                <w:rFonts w:ascii="楷体" w:hAnsi="楷体" w:cs="楷体" w:hint="eastAsia"/>
                <w:sz w:val="22"/>
                <w:szCs w:val="24"/>
              </w:rPr>
              <w:t xml:space="preserve">序号</w:t>
            </w:r>
          </w:p>
        </w:tc>
        <w:tc>
          <w:tcPr>
            <w:tcW w:w="1725" w:type="dxa"/>
          </w:tcPr>
          <w:p>
            <w:pPr>
              <w:pStyle w:val="标题4"/>
              <w:jc w:val="center"/>
              <w:rPr>
                <w:rFonts w:ascii="楷体" w:hAnsi="楷体" w:cs="楷体"/>
                <w:sz w:val="22"/>
                <w:szCs w:val="24"/>
              </w:rPr>
            </w:pPr>
            <w:r>
              <w:rPr>
                <w:rFonts w:ascii="楷体" w:hAnsi="楷体" w:cs="楷体" w:hint="eastAsia"/>
                <w:sz w:val="22"/>
                <w:szCs w:val="24"/>
              </w:rPr>
              <w:t xml:space="preserve">投资者类别</w:t>
            </w:r>
          </w:p>
        </w:tc>
        <w:tc>
          <w:tcPr>
            <w:tcW w:w="1980" w:type="dxa"/>
          </w:tcPr>
          <w:p>
            <w:pPr>
              <w:pStyle w:val="标题4"/>
              <w:jc w:val="center"/>
              <w:rPr>
                <w:rFonts w:ascii="楷体" w:hAnsi="楷体" w:cs="楷体"/>
                <w:sz w:val="22"/>
                <w:szCs w:val="24"/>
              </w:rPr>
            </w:pPr>
            <w:r>
              <w:rPr>
                <w:rFonts w:ascii="楷体" w:hAnsi="楷体" w:cs="楷体" w:hint="eastAsia"/>
                <w:sz w:val="22"/>
                <w:szCs w:val="24"/>
              </w:rPr>
              <w:t xml:space="preserve">期末持有份额</w:t>
            </w:r>
          </w:p>
        </w:tc>
        <w:tc>
          <w:tcPr>
            <w:tcW w:w="1905" w:type="dxa"/>
          </w:tcPr>
          <w:p>
            <w:pPr>
              <w:pStyle w:val="标题4"/>
              <w:jc w:val="center"/>
              <w:rPr>
                <w:rFonts w:ascii="楷体" w:hAnsi="楷体" w:cs="楷体"/>
                <w:sz w:val="22"/>
                <w:szCs w:val="24"/>
              </w:rPr>
            </w:pPr>
            <w:r>
              <w:rPr>
                <w:rFonts w:ascii="楷体" w:hAnsi="楷体" w:cs="楷体" w:hint="eastAsia"/>
                <w:sz w:val="22"/>
                <w:szCs w:val="24"/>
              </w:rPr>
              <w:t xml:space="preserve">份额占比</w:t>
            </w:r>
          </w:p>
        </w:tc>
        <w:tc>
          <w:tcPr>
            <w:tcW w:w="1676" w:type="dxa"/>
          </w:tcPr>
          <w:p>
            <w:pPr>
              <w:pStyle w:val="标题4"/>
              <w:jc w:val="center"/>
              <w:rPr>
                <w:rFonts w:ascii="楷体" w:hAnsi="楷体" w:cs="楷体"/>
                <w:sz w:val="22"/>
                <w:szCs w:val="24"/>
              </w:rPr>
            </w:pPr>
            <w:r>
              <w:rPr>
                <w:rFonts w:ascii="楷体" w:hAnsi="楷体" w:cs="楷体" w:hint="eastAsia"/>
                <w:sz w:val="22"/>
                <w:szCs w:val="24"/>
              </w:rPr>
              <w:t xml:space="preserve">报告期内份额变化情况</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jc w:val="center"/>
              <w:rPr>
                <w:rFonts w:ascii="楷体" w:eastAsia="楷体" w:hAnsi="楷体" w:cs="楷体"/>
                <w:sz w:val="22"/>
              </w:rPr>
            </w:pPr>
            <w:r>
              <w:rPr>
                <w:rFonts w:ascii="楷体" w:eastAsia="楷体" w:hAnsi="楷体" w:cs="楷体" w:hint="eastAsia"/>
                <w:sz w:val="22"/>
              </w:rPr>
              <w:t xml:space="preserve">-</w:t>
            </w:r>
          </w:p>
        </w:tc>
        <w:tc>
          <w:tcPr>
            <w:tcW w:w="1725" w:type="dxa"/>
          </w:tcPr>
          <w:p>
            <w:pPr>
              <w:jc w:val="center"/>
              <w:rPr>
                <w:rFonts w:ascii="楷体" w:eastAsia="楷体" w:hAnsi="楷体" w:cs="楷体"/>
                <w:sz w:val="22"/>
              </w:rPr>
            </w:pPr>
            <w:r>
              <w:rPr>
                <w:rFonts w:ascii="楷体" w:eastAsia="楷体" w:hAnsi="楷体" w:cs="楷体" w:hint="eastAsia"/>
                <w:sz w:val="22"/>
              </w:rPr>
              <w:t xml:space="preserve">-</w:t>
            </w:r>
          </w:p>
        </w:tc>
        <w:tc>
          <w:tcPr>
            <w:tcW w:w="1980" w:type="dxa"/>
          </w:tcPr>
          <w:p>
            <w:pPr>
              <w:jc w:val="center"/>
              <w:rPr>
                <w:rFonts w:ascii="楷体" w:eastAsia="楷体" w:hAnsi="楷体" w:cs="楷体"/>
                <w:sz w:val="22"/>
              </w:rPr>
            </w:pPr>
            <w:r>
              <w:rPr>
                <w:rFonts w:ascii="楷体" w:eastAsia="楷体" w:hAnsi="楷体" w:cs="楷体" w:hint="eastAsia"/>
                <w:sz w:val="22"/>
              </w:rPr>
              <w:t xml:space="preserve">-</w:t>
            </w:r>
          </w:p>
        </w:tc>
        <w:tc>
          <w:tcPr>
            <w:tcW w:w="1905" w:type="dxa"/>
          </w:tcPr>
          <w:p>
            <w:pPr>
              <w:jc w:val="center"/>
              <w:rPr>
                <w:rFonts w:ascii="楷体" w:eastAsia="楷体" w:hAnsi="楷体" w:cs="楷体"/>
                <w:sz w:val="22"/>
              </w:rPr>
            </w:pPr>
            <w:r>
              <w:rPr>
                <w:rFonts w:ascii="楷体" w:eastAsia="楷体" w:hAnsi="楷体" w:cs="楷体" w:hint="eastAsia"/>
                <w:sz w:val="22"/>
              </w:rPr>
              <w:t xml:space="preserve">-</w:t>
            </w:r>
          </w:p>
        </w:tc>
        <w:tc>
          <w:tcPr>
            <w:tcW w:w="1676" w:type="dxa"/>
          </w:tcPr>
          <w:p>
            <w:pPr>
              <w:jc w:val="center"/>
              <w:rPr>
                <w:rFonts w:ascii="楷体" w:eastAsia="楷体" w:hAnsi="楷体" w:cs="楷体"/>
                <w:sz w:val="22"/>
              </w:rPr>
            </w:pPr>
            <w:r>
              <w:rPr>
                <w:rFonts w:ascii="楷体" w:eastAsia="楷体" w:hAnsi="楷体" w:cs="楷体" w:hint="eastAsia"/>
                <w:sz w:val="22"/>
              </w:rPr>
              <w:t xml:space="preserve">-</w:t>
            </w:r>
          </w:p>
        </w:tc>
      </w:tr>
    </w:tbl>
    <w:p>
      <w:pPr>
        <w:pStyle w:val="Heading3"/>
        <w:rPr>
          <w:rFonts w:ascii="楷体" w:hAnsi="楷体" w:cs="楷体"/>
        </w:rPr>
      </w:pPr>
    </w:p>
    <w:p>
      <w:pPr>
        <w:pStyle w:val="Heading3"/>
        <w:rPr>
          <w:rFonts w:ascii="楷体" w:hAnsi="楷体" w:cs="楷体"/>
        </w:rPr>
      </w:pPr>
      <w:r>
        <w:rPr>
          <w:rFonts w:ascii="楷体" w:hAnsi="楷体" w:cs="楷体" w:hint="eastAsia"/>
        </w:rPr>
        <w:t xml:space="preserve">四</w:t>
      </w:r>
      <w:r>
        <w:rPr>
          <w:rFonts w:ascii="楷体" w:hAnsi="楷体" w:cs="楷体" w:hint="eastAsia"/>
          <w:lang w:eastAsia="zh-CN"/>
        </w:rPr>
        <w:t xml:space="preserve">、</w:t>
      </w:r>
      <w:r>
        <w:rPr>
          <w:rFonts w:ascii="楷体" w:hAnsi="楷体" w:cs="楷体" w:hint="eastAsia"/>
        </w:rPr>
        <w:t xml:space="preserve">投资运作情况</w:t>
      </w:r>
    </w:p>
    <w:p>
      <w:pPr>
        <w:pStyle w:val="Heading3"/>
        <w:rPr>
          <w:rFonts w:ascii="楷体" w:hAnsi="楷体" w:cs="楷体"/>
          <w:b w:val="0"/>
          <w:sz w:val="21"/>
        </w:rPr>
      </w:pPr>
      <w:r>
        <w:rPr>
          <w:rFonts w:ascii="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spacing w:val="8"/>
          <w:sz w:val="21"/>
        </w:rPr>
      </w:pPr>
      <w:r>
        <w:rPr>
          <w:rFonts w:ascii="楷体" w:eastAsia="楷体" w:hAnsi="楷体" w:cs="楷体" w:hint="eastAsia"/>
          <w:spacing w:val="8"/>
          <w:sz w:val="21"/>
        </w:rPr>
        <w:t xml:space="preserve">    2026年第一季度，是"十五五"规划实施的开局之季。在党中央、国务院的坚强领导下，宏观政策靠前发力、协同发力，经济运行起步有力、开局良好，为实现全年经济社会发展目标奠定了坚实基础。</w:t>
      </w:r>
      <w:r>
        <w:rPr>
          <w:rFonts w:ascii="楷体" w:eastAsia="楷体" w:hAnsi="楷体" w:cs="楷体" w:hint="eastAsia"/>
          <w:spacing w:val="8"/>
          <w:sz w:val="21"/>
        </w:rPr>
        <w:br/>
      </w:r>
      <w:r>
        <w:rPr>
          <w:rFonts w:ascii="楷体" w:eastAsia="楷体" w:hAnsi="楷体" w:cs="楷体" w:hint="eastAsia"/>
          <w:spacing w:val="8"/>
          <w:sz w:val="21"/>
        </w:rPr>
        <w:t xml:space="preserve">    从经济基本面看，一季度主要经济指标呈现回升向好态势。国内生产总值达31.88万亿元，同比增长5.4%。全国固定资产投资同比增长4.2%，增速较去年回升1个百分点；社会消费品零售总额12.47万亿元，同比增长4.6%；货物贸易进出口总值11.84万亿元，同比增长15%，季度规模创历史同期新高，增速为近五年最高。总体而言，经济内生动能持续修复，高质量发展扎实推进。债市方面，一季度债券市场呈现"牛陡"特征，短端利率下行幅度显著大于长端，收益率曲线陡峭化趋势明显。1年期国债收益率由季初1.34%附近震荡下行至季末1.20%-1.22%区间，下行幅度逾10个基点。10年期国债收益率在1.77%-1.90%区间宽幅震荡。具体来看：季初收益率位于1.84%附近，受经济开年向好预期推动，于1月上旬上行触及1.90%的季度高点；此后，在流动性保持合理充裕及配置盘"开门红"驱动下，收益率转为震荡下行，春节前下探至1.78%附近；节后小幅回调后再次下行，于2月末触及1.77%的季度低点。进入3月，市场在多空因素交织下呈拉锯态势，季末10年期国债收益率收于1.81%-1.83%附近。整体而言，10年期与1年期国债期限利差明显走阔，反映出资金面宽松对短端的支撑更为强劲，而长端则更多受到基本面预期与供需格局的扰动。</w:t>
      </w:r>
      <w:r>
        <w:rPr>
          <w:rFonts w:ascii="楷体" w:eastAsia="楷体" w:hAnsi="楷体" w:cs="楷体" w:hint="eastAsia"/>
          <w:spacing w:val="8"/>
          <w:sz w:val="21"/>
        </w:rPr>
        <w:br/>
      </w:r>
      <w:r>
        <w:rPr>
          <w:rFonts w:ascii="楷体" w:eastAsia="楷体" w:hAnsi="楷体" w:cs="楷体" w:hint="eastAsia"/>
          <w:spacing w:val="8"/>
          <w:sz w:val="21"/>
        </w:rPr>
        <w:t xml:space="preserve">    报告期内，管理人严格遵循监管要求，持续加强对现金管理类产品的信用风险、久期风险、集中度风险和流动性风险的管控。资产配置策略主要集中于低风险资产，如银行存款、回购、同业存单及证券公司债，结合适度的杠杆运用和梯形策略，确保在不同资产类别和期限之间实现合理的均衡，最大程度地降低风险。面对一季度资金面整体平稳宽松的市场环境，管理人积极调整投资策略，把握市场配置时机，积极增配同业存单、利率债等债券类资产。另一方面，针对一季度末资金利率季节性波动特点，产品在季末提高了高价存款和回购的配置比例，这一策略有效提升了产品的静态收益，为投资者提供了相对稳定的回报，帮助其应对市场的不确定性。管理人在资产配置上灵活应对，密切关注宏观经济变化，从而及时调整投资组合。管理人通过灵活的资产配置和恰当的投资策略，确保了现金管理类产品在复杂市场环境下的稳健表现，为投资者提供了更为可靠的收益保障。</w:t>
      </w:r>
    </w:p>
    <w:p>
      <w:pPr>
        <w:pStyle w:val="BodyText"/>
        <w:spacing w:before="43" w:line="275" w:lineRule="auto"/>
        <w:ind w:right="1799" w:firstLine="226" w:firstLineChars="100"/>
        <w:rPr>
          <w:rFonts w:ascii="楷体" w:eastAsia="楷体" w:hAnsi="楷体" w:cs="楷体"/>
          <w:spacing w:val="8"/>
          <w:sz w:val="21"/>
        </w:rPr>
      </w:pPr>
    </w:p>
    <w:p>
      <w:pPr>
        <w:pStyle w:val="Heading3"/>
        <w:rPr>
          <w:rFonts w:ascii="楷体" w:hAnsi="楷体" w:cs="楷体"/>
          <w:b w:val="0"/>
          <w:sz w:val="21"/>
        </w:rPr>
      </w:pPr>
      <w:r>
        <w:rPr>
          <w:rFonts w:ascii="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sz w:val="21"/>
        </w:rPr>
      </w:pPr>
      <w:r>
        <w:rPr>
          <w:rFonts w:ascii="楷体" w:eastAsia="楷体" w:hAnsi="楷体" w:cs="楷体" w:hint="eastAsia"/>
          <w:spacing w:val="9"/>
          <w:sz w:val="21"/>
        </w:rPr>
        <w:t xml:space="preserve">    展望2026年第二季度，尽管一季度经济数据整体改善，但在外部不确定性犹存的背景下，宏观政策保持支持性基调的必要性依然较大。货币政策有望维持稳健偏宽松取向，以配合财政政策实施，流动性环境整体保持平稳的确定性较高。债券市场在经历一季度的曲线陡峭化行情后，后续走势将更取决于实体经济复苏成色、政策落地节奏以及外部环境演变。综合考量当前收益率曲线形态及政策环境，二季度债市收益率或存在一定下行空间，建议择机适当布局。</w:t>
      </w:r>
      <w:r>
        <w:rPr>
          <w:rFonts w:ascii="楷体" w:eastAsia="楷体" w:hAnsi="楷体" w:cs="楷体" w:hint="eastAsia"/>
          <w:spacing w:val="9"/>
          <w:sz w:val="21"/>
        </w:rPr>
        <w:br/>
      </w:r>
      <w:r>
        <w:rPr>
          <w:rFonts w:ascii="楷体" w:eastAsia="楷体" w:hAnsi="楷体" w:cs="楷体" w:hint="eastAsia"/>
          <w:spacing w:val="9"/>
          <w:sz w:val="21"/>
        </w:rPr>
        <w:t xml:space="preserve">    后续，本产品管理人将继续依托国内外宏观和微观深入研究分析，采取扎实稳健的投资策略，继续严格遵照资管系列新规要求，聚焦高等级的各类标准化债权资产和高流动性的银行间与沪深交易所标的进行投资，在满足投资者流动性需求的同时，努力争取较好的组合管理收益。</w:t>
      </w:r>
    </w:p>
    <w:p>
      <w:pPr>
        <w:ind w:firstLine="420" w:firstLineChars="200"/>
        <w:rPr>
          <w:rFonts w:ascii="楷体" w:eastAsia="楷体" w:hAnsi="楷体" w:cs="楷体"/>
          <w:bCs/>
          <w:kern w:val="0"/>
          <w:szCs w:val="21"/>
        </w:rPr>
      </w:pPr>
    </w:p>
    <w:p>
      <w:pPr>
        <w:pStyle w:val="Heading3"/>
        <w:rPr>
          <w:rFonts w:ascii="楷体" w:hAnsi="楷体" w:cs="楷体"/>
          <w:b w:val="0"/>
          <w:sz w:val="21"/>
        </w:rPr>
      </w:pPr>
      <w:r>
        <w:rPr>
          <w:rFonts w:ascii="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sz w:val="21"/>
        </w:rPr>
      </w:pPr>
      <w:r>
        <w:rPr>
          <w:rFonts w:ascii="楷体" w:eastAsia="楷体" w:hAnsi="楷体" w:cs="楷体" w:hint="eastAsia"/>
          <w:spacing w:val="9"/>
          <w:sz w:val="21"/>
        </w:rPr>
        <w:t xml:space="preserve">    2026年一季度，市场流动性整体宽松，本产品在投资高流动性的利率债和AAA存单以外，动态调整产品杠杆率，充分做好资金准备，平稳度过各关键时点，充分满足了产品的流动性需求，保障了投资者的赎回需求。</w:t>
      </w:r>
      <w:r>
        <w:rPr>
          <w:rFonts w:ascii="楷体" w:eastAsia="楷体" w:hAnsi="楷体" w:cs="楷体" w:hint="eastAsia"/>
          <w:spacing w:val="9"/>
          <w:sz w:val="21"/>
        </w:rPr>
        <w:br/>
      </w:r>
      <w:r>
        <w:rPr>
          <w:rFonts w:ascii="楷体" w:eastAsia="楷体" w:hAnsi="楷体" w:cs="楷体" w:hint="eastAsia"/>
          <w:spacing w:val="9"/>
          <w:sz w:val="21"/>
        </w:rPr>
        <w:t xml:space="preserve">    展望后市，本产品将继续重点投资信用等级较高、流动性较好的各类标的，做好资金安排和流动性预判，充分满足产品流动性需求。</w:t>
      </w:r>
    </w:p>
    <w:p>
      <w:pPr>
        <w:ind w:firstLine="420" w:firstLineChars="200"/>
        <w:rPr>
          <w:rFonts w:ascii="楷体" w:eastAsia="楷体" w:hAnsi="楷体" w:cs="楷体"/>
          <w:bCs/>
          <w:kern w:val="0"/>
          <w:szCs w:val="21"/>
        </w:rPr>
      </w:pPr>
    </w:p>
    <w:p>
      <w:pPr>
        <w:rPr>
          <w:rFonts w:ascii="楷体" w:eastAsia="楷体" w:hAnsi="楷体" w:cs="楷体"/>
        </w:rPr>
      </w:pPr>
    </w:p>
    <w:p>
      <w:pPr>
        <w:ind w:firstLine="420" w:firstLineChars="200"/>
        <w:rPr>
          <w:rFonts w:ascii="楷体" w:eastAsia="楷体" w:hAnsi="楷体" w:cs="楷体"/>
          <w:bCs/>
          <w:kern w:val="0"/>
          <w:szCs w:val="21"/>
        </w:rPr>
      </w:pPr>
    </w:p>
    <w:p>
      <w:pPr>
        <w:rPr>
          <w:rFonts w:ascii="楷体" w:eastAsia="楷体" w:hAnsi="楷体" w:cs="楷体"/>
          <w:sz w:val="15"/>
          <w:szCs w:val="15"/>
        </w:rPr>
      </w:pPr>
    </w:p>
    <w:p>
      <w:pPr>
        <w:jc w:val="right"/>
        <w:rPr>
          <w:rFonts w:ascii="楷体" w:eastAsia="楷体" w:hAnsi="楷体" w:cs="楷体"/>
          <w:b/>
          <w:bCs/>
          <w:sz w:val="21"/>
          <w:szCs w:val="21"/>
        </w:rPr>
      </w:pPr>
      <w:r>
        <w:rPr>
          <w:rFonts w:ascii="楷体" w:eastAsia="楷体" w:hAnsi="楷体" w:cs="楷体" w:hint="eastAsia"/>
          <w:b/>
          <w:bCs/>
          <w:sz w:val="21"/>
          <w:szCs w:val="21"/>
        </w:rPr>
        <w:t xml:space="preserve">苏银理财有限责任公司</w:t>
      </w:r>
    </w:p>
    <w:p>
      <w:pPr>
        <w:jc w:val="right"/>
        <w:rPr>
          <w:rFonts w:ascii="楷体" w:eastAsia="楷体" w:hAnsi="楷体" w:cs="楷体"/>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68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69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69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69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2025-10-14T02:25:40Z</dcterms:modified>
  <cp:revision>29</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0</TotalTime>
  <ScaleCrop>false</ScaleCrop>
  <LinksUpToDate>false</LinksUpToDate>
  <CharactersWithSpaces>2985</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446</Words>
  <Characters>2544</Characters>
  <Application>WPS Office_10.8.2.7119_F1E327BC-269C-435d-A152-05C5408002CA</Application>
  <DocSecurity>0</DocSecurity>
  <Lines>21</Lines>
  <Paragraphs>5</Paragraphs>
  <Company>WORKGROUP</Company>
  <CharactersWithSpaces>2985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29</cp:revision>
  <dcterms:created xsi:type="dcterms:W3CDTF">2021-11-18T10:04:00Z</dcterms:created>
  <dcterms:modified xsi:type="dcterms:W3CDTF">2026-04-17T07:20:07Z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