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70"/>
        </w:tabs>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富竹纯债91天持有期41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民生理财富竹纯债91天持有期41理财产品</w:t>
      </w:r>
      <w:r>
        <w:rPr>
          <w:rFonts w:hint="eastAsia" w:ascii="宋体" w:hAnsi="宋体" w:eastAsia="宋体" w:cs="宋体"/>
          <w:b/>
          <w:kern w:val="0"/>
          <w:sz w:val="30"/>
          <w:szCs w:val="30"/>
          <w:lang w:val="en-US" w:eastAsia="zh-CN" w:bidi="ar-SA"/>
        </w:rPr>
        <w:fldChar w:fldCharType="end"/>
      </w:r>
      <w:bookmarkEnd w:id="0"/>
    </w:p>
    <w:p>
      <w:pPr>
        <w:pStyle w:val="6"/>
        <w:tabs>
          <w:tab w:val="left" w:pos="1470"/>
        </w:tabs>
        <w:spacing w:line="540" w:lineRule="atLeast"/>
        <w:jc w:val="center"/>
        <w:rPr>
          <w:rFonts w:hint="eastAsia" w:ascii="宋体" w:hAnsi="宋体" w:eastAsia="宋体" w:cs="宋体"/>
          <w:b/>
          <w:sz w:val="30"/>
          <w:szCs w:val="30"/>
          <w:lang w:val="en-US" w:eastAsia="zh-CN"/>
        </w:rPr>
      </w:pPr>
      <w:r>
        <w:rPr>
          <w:rFonts w:hint="eastAsia" w:ascii="宋体" w:hAnsi="宋体" w:cs="宋体"/>
          <w:b/>
          <w:kern w:val="0"/>
          <w:sz w:val="30"/>
          <w:szCs w:val="30"/>
          <w:lang w:val="en-US" w:eastAsia="zh-CN" w:bidi="ar-SA"/>
        </w:rPr>
        <w:t>增加销售对象及合同调整</w:t>
      </w:r>
      <w:r>
        <w:rPr>
          <w:rFonts w:hint="eastAsia" w:ascii="宋体" w:hAnsi="宋体" w:eastAsia="宋体" w:cs="宋体"/>
          <w:b/>
          <w:sz w:val="30"/>
          <w:szCs w:val="30"/>
          <w:lang w:val="en-US" w:eastAsia="zh-CN"/>
        </w:rPr>
        <w:t>的公告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rPr>
        <w:t>尊敬的投资者：</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lang w:val="en-US" w:eastAsia="zh-CN"/>
        </w:rPr>
        <w:t>为满足投资者的投资需求，我司拟自</w:t>
      </w:r>
      <w:bookmarkStart w:id="1" w:name="XX机构"/>
      <w:r>
        <w:rPr>
          <w:rFonts w:hint="eastAsia" w:ascii="Times New Roman" w:hAnsi="Times New Roman" w:eastAsia="宋体" w:cs="Times New Roman"/>
          <w:kern w:val="0"/>
          <w:sz w:val="21"/>
          <w:szCs w:val="24"/>
          <w:highlight w:val="none"/>
          <w:lang w:val="en-US" w:eastAsia="zh-CN" w:bidi="ar-SA"/>
        </w:rPr>
        <w:fldChar w:fldCharType="begin">
          <w:ffData>
            <w:name w:val="XX机构"/>
            <w:enabled/>
            <w:calcOnExit w:val="0"/>
            <w:textInput>
              <w:default w:val="2026年4月16日（含）"/>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2026年4月16日（含）</w:t>
      </w:r>
      <w:r>
        <w:rPr>
          <w:rFonts w:hint="eastAsia" w:ascii="Times New Roman" w:hAnsi="Times New Roman" w:eastAsia="宋体" w:cs="Times New Roman"/>
          <w:kern w:val="0"/>
          <w:sz w:val="21"/>
          <w:szCs w:val="24"/>
          <w:highlight w:val="none"/>
          <w:lang w:val="en-US" w:eastAsia="zh-CN" w:bidi="ar-SA"/>
        </w:rPr>
        <w:fldChar w:fldCharType="end"/>
      </w:r>
      <w:bookmarkEnd w:id="1"/>
      <w:r>
        <w:rPr>
          <w:rFonts w:hint="eastAsia" w:ascii="Times New Roman" w:hAnsi="Times New Roman" w:cs="Times New Roman"/>
          <w:kern w:val="0"/>
          <w:sz w:val="21"/>
          <w:szCs w:val="24"/>
          <w:highlight w:val="none"/>
          <w:lang w:val="en-US" w:eastAsia="zh-CN" w:bidi="ar-SA"/>
        </w:rPr>
        <w:t>起，对</w:t>
      </w:r>
      <w:bookmarkStart w:id="2" w:name="FileSave"/>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民生理财富竹纯债91天持有期41理财产品产品代码：FBAE60541）"/>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民生理财富竹纯债91天持有期41理财产品产品代码：FBAE60541）</w:t>
      </w:r>
      <w:r>
        <w:rPr>
          <w:rFonts w:hint="eastAsia" w:ascii="Times New Roman" w:hAnsi="Times New Roman" w:eastAsia="宋体" w:cs="Times New Roman"/>
          <w:kern w:val="0"/>
          <w:sz w:val="21"/>
          <w:szCs w:val="24"/>
          <w:highlight w:val="none"/>
          <w:lang w:val="en-US" w:eastAsia="zh-CN" w:bidi="ar-SA"/>
        </w:rPr>
        <w:fldChar w:fldCharType="end"/>
      </w:r>
      <w:bookmarkEnd w:id="2"/>
      <w:r>
        <w:rPr>
          <w:rFonts w:hint="eastAsia" w:ascii="Times New Roman" w:hAnsi="Times New Roman" w:cs="Times New Roman"/>
          <w:kern w:val="0"/>
          <w:sz w:val="21"/>
          <w:szCs w:val="24"/>
          <w:highlight w:val="none"/>
          <w:lang w:val="en-US" w:eastAsia="zh-CN" w:bidi="ar-SA"/>
        </w:rPr>
        <w:t>新增</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J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J份额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Times New Roman" w:hAnsi="Times New Roman" w:cs="Times New Roman"/>
          <w:kern w:val="0"/>
          <w:sz w:val="21"/>
          <w:szCs w:val="24"/>
          <w:highlight w:val="none"/>
          <w:lang w:val="en-US" w:eastAsia="zh-CN" w:bidi="ar-SA"/>
        </w:rPr>
        <w:t>，</w:t>
      </w:r>
      <w:bookmarkStart w:id="3" w:name="Text3"/>
      <w:r>
        <w:rPr>
          <w:rFonts w:hint="eastAsia" w:ascii="Times New Roman" w:hAnsi="Times New Roman" w:eastAsia="宋体" w:cs="Times New Roman"/>
          <w:kern w:val="0"/>
          <w:sz w:val="21"/>
          <w:szCs w:val="24"/>
          <w:highlight w:val="none"/>
          <w:lang w:val="en-US" w:eastAsia="zh-CN" w:bidi="ar-SA"/>
        </w:rPr>
        <w:fldChar w:fldCharType="begin">
          <w:ffData>
            <w:name w:val="Text3"/>
            <w:enabled/>
            <w:calcOnExit w:val="0"/>
            <w:textInput>
              <w:default w:val="并面向中国民生银行股份有限公司进行销售"/>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并面向中国民生银行股份有限公司进行销售</w:t>
      </w:r>
      <w:r>
        <w:rPr>
          <w:rFonts w:hint="eastAsia" w:ascii="Times New Roman" w:hAnsi="Times New Roman" w:eastAsia="宋体" w:cs="Times New Roman"/>
          <w:kern w:val="0"/>
          <w:sz w:val="21"/>
          <w:szCs w:val="24"/>
          <w:highlight w:val="none"/>
          <w:lang w:val="en-US" w:eastAsia="zh-CN" w:bidi="ar-SA"/>
        </w:rPr>
        <w:fldChar w:fldCharType="end"/>
      </w:r>
      <w:bookmarkEnd w:id="3"/>
      <w:r>
        <w:rPr>
          <w:rFonts w:hint="eastAsia" w:ascii="Times New Roman" w:hAnsi="Times New Roman" w:cs="Times New Roman"/>
          <w:kern w:val="0"/>
          <w:sz w:val="21"/>
          <w:szCs w:val="24"/>
          <w:highlight w:val="none"/>
          <w:lang w:val="en-US" w:eastAsia="zh-CN" w:bidi="ar-SA"/>
        </w:rPr>
        <w:t>。</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由于</w:t>
      </w:r>
      <w:r>
        <w:rPr>
          <w:rFonts w:hint="eastAsia" w:ascii="宋体" w:hAnsi="宋体" w:eastAsia="宋体" w:cs="宋体"/>
          <w:b w:val="0"/>
          <w:bCs/>
          <w:kern w:val="2"/>
          <w:sz w:val="21"/>
          <w:szCs w:val="21"/>
          <w:lang w:val="en-US" w:eastAsia="zh-CN" w:bidi="ar-SA"/>
        </w:rPr>
        <w:fldChar w:fldCharType="begin">
          <w:ffData>
            <w:name w:val="Text1"/>
            <w:enabled/>
            <w:calcOnExit w:val="0"/>
            <w:textInput>
              <w:default w:val="不同份额的销售对象及适合投资者、认购/申购起点金额、认购/申购递增金额、最小赎回份额、认购/申购金额限制、赎回份额限制、业绩比较基准"/>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不同份额的销售对象及适合投资者、认购/申购起点金额、认购/申购递增金额、最小赎回份额、认购/申购金额限制、赎回份额限制、业绩比较基准</w:t>
      </w:r>
      <w:r>
        <w:rPr>
          <w:rFonts w:hint="eastAsia"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等产品</w:t>
      </w:r>
      <w:bookmarkStart w:id="18" w:name="_GoBack"/>
      <w:bookmarkEnd w:id="18"/>
      <w:r>
        <w:rPr>
          <w:rFonts w:hint="eastAsia" w:ascii="宋体" w:hAnsi="宋体" w:eastAsia="宋体" w:cs="宋体"/>
          <w:b w:val="0"/>
          <w:bCs/>
          <w:kern w:val="2"/>
          <w:sz w:val="21"/>
          <w:szCs w:val="21"/>
          <w:lang w:val="en-US" w:eastAsia="zh-CN" w:bidi="ar-SA"/>
        </w:rPr>
        <w:t>要素可能存在差异，因此，产品合同中的相关内容将按照不同份额进行表述。</w:t>
      </w:r>
      <w:bookmarkStart w:id="4" w:name="正文"/>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J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J份额</w:t>
      </w:r>
      <w:r>
        <w:rPr>
          <w:rFonts w:hint="eastAsia" w:ascii="Times New Roman" w:hAnsi="Times New Roman" w:eastAsia="宋体" w:cs="Times New Roman"/>
          <w:kern w:val="0"/>
          <w:sz w:val="21"/>
          <w:szCs w:val="24"/>
          <w:highlight w:val="none"/>
          <w:lang w:val="en-US" w:eastAsia="zh-CN" w:bidi="ar-SA"/>
        </w:rPr>
        <w:fldChar w:fldCharType="end"/>
      </w:r>
      <w:bookmarkEnd w:id="4"/>
      <w:r>
        <w:rPr>
          <w:rFonts w:hint="eastAsia" w:ascii="宋体" w:hAnsi="宋体" w:eastAsia="宋体" w:cs="宋体"/>
          <w:b w:val="0"/>
          <w:bCs/>
          <w:kern w:val="2"/>
          <w:sz w:val="21"/>
          <w:szCs w:val="21"/>
          <w:lang w:val="en-US" w:eastAsia="zh-CN" w:bidi="ar-SA"/>
        </w:rPr>
        <w:t>主要要素信息更新如下：</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3"/>
            <w:enabled/>
            <w:calcOnExit w:val="0"/>
            <w:textInput>
              <w:default w:val="一、“一、理财产品基本信息”中："/>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一、“一、理财产品基本信息”中：</w:t>
      </w:r>
      <w:r>
        <w:rPr>
          <w:rFonts w:hint="eastAsia" w:ascii="宋体" w:hAnsi="宋体" w:eastAsia="宋体" w:cs="宋体"/>
          <w:b w:val="0"/>
          <w:bCs/>
          <w:kern w:val="2"/>
          <w:sz w:val="21"/>
          <w:szCs w:val="21"/>
          <w:lang w:val="en-US" w:eastAsia="zh-CN" w:bidi="ar-SA"/>
        </w:rPr>
        <w:fldChar w:fldCharType="end"/>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产品代码</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5" w:name="Text68"/>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J份额：FBAE60541J"/>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J份额：FBAE60541J</w:t>
            </w:r>
            <w:r>
              <w:rPr>
                <w:rFonts w:ascii="Times New Roman" w:hAnsi="Times New Roman" w:eastAsia="宋体" w:cs="Times New Roman"/>
                <w:kern w:val="0"/>
                <w:sz w:val="21"/>
                <w:szCs w:val="24"/>
                <w:highlight w:val="none"/>
                <w:lang w:val="en-US" w:eastAsia="zh-CN" w:bidi="ar-SA"/>
              </w:rPr>
              <w:fldChar w:fldCharType="end"/>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highlight w:val="none"/>
              </w:rPr>
            </w:pPr>
            <w:r>
              <w:rPr>
                <w:kern w:val="0"/>
                <w:highlight w:val="none"/>
              </w:rPr>
              <w:t>销售对象及适合投资者</w:t>
            </w:r>
          </w:p>
        </w:tc>
        <w:tc>
          <w:tcPr>
            <w:tcW w:w="6837"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bidi w:val="0"/>
              <w:spacing w:beforeLines="0" w:afterLines="0" w:line="360" w:lineRule="auto"/>
              <w:ind w:right="0" w:rightChars="0"/>
              <w:textAlignment w:val="auto"/>
              <w:rPr>
                <w:color w:val="000000"/>
                <w:kern w:val="0"/>
                <w:highlight w:val="none"/>
              </w:rPr>
            </w:pPr>
            <w:r>
              <w:rPr>
                <w:kern w:val="44"/>
                <w:highlight w:val="none"/>
                <w:lang w:bidi="ar"/>
              </w:rPr>
              <w:t>本理财产品面向不特定社会公众销售</w:t>
            </w:r>
            <w:bookmarkStart w:id="6" w:name="Text74"/>
            <w:r>
              <w:rPr>
                <w:rFonts w:ascii="Times New Roman" w:hAnsi="Times New Roman" w:eastAsia="宋体" w:cs="Times New Roman"/>
                <w:kern w:val="44"/>
                <w:sz w:val="21"/>
                <w:szCs w:val="24"/>
                <w:highlight w:val="none"/>
                <w:lang w:val="en-US" w:eastAsia="zh-CN" w:bidi="ar"/>
              </w:rPr>
              <w:fldChar w:fldCharType="begin">
                <w:ffData>
                  <w:name w:val="Text74"/>
                  <w:enabled/>
                  <w:calcOnExit w:val="0"/>
                  <w:textInput>
                    <w:default w:val="。其中，J份额：民生银行家族信托客户，具体以代理销售机构为准。"/>
                  </w:textInput>
                </w:ffData>
              </w:fldChar>
            </w:r>
            <w:r>
              <w:rPr>
                <w:rFonts w:ascii="Times New Roman" w:hAnsi="Times New Roman" w:eastAsia="宋体" w:cs="Times New Roman"/>
                <w:kern w:val="44"/>
                <w:sz w:val="21"/>
                <w:szCs w:val="24"/>
                <w:highlight w:val="none"/>
                <w:lang w:val="en-US" w:eastAsia="zh-CN" w:bidi="ar"/>
              </w:rPr>
              <w:instrText xml:space="preserve">FORMTEXT</w:instrText>
            </w:r>
            <w:r>
              <w:rPr>
                <w:rFonts w:ascii="Times New Roman" w:hAnsi="Times New Roman" w:eastAsia="宋体" w:cs="Times New Roman"/>
                <w:kern w:val="44"/>
                <w:sz w:val="21"/>
                <w:szCs w:val="24"/>
                <w:highlight w:val="none"/>
                <w:lang w:val="en-US" w:eastAsia="zh-CN" w:bidi="ar"/>
              </w:rPr>
              <w:fldChar w:fldCharType="separate"/>
            </w:r>
            <w:r>
              <w:rPr>
                <w:rFonts w:ascii="Times New Roman" w:hAnsi="Times New Roman" w:eastAsia="宋体" w:cs="Times New Roman"/>
                <w:kern w:val="44"/>
                <w:sz w:val="21"/>
                <w:szCs w:val="24"/>
                <w:highlight w:val="none"/>
                <w:lang w:val="en-US" w:eastAsia="zh-CN" w:bidi="ar"/>
              </w:rPr>
              <w:t>。其中，J份额：民生银行家族信托客户，具体以代理销售机构为准。</w:t>
            </w:r>
            <w:r>
              <w:rPr>
                <w:rFonts w:ascii="Times New Roman" w:hAnsi="Times New Roman" w:eastAsia="宋体" w:cs="Times New Roman"/>
                <w:kern w:val="44"/>
                <w:sz w:val="21"/>
                <w:szCs w:val="24"/>
                <w:highlight w:val="none"/>
                <w:lang w:val="en-US" w:eastAsia="zh-CN" w:bidi="ar"/>
              </w:rPr>
              <w:fldChar w:fldCharType="end"/>
            </w:r>
            <w:bookmarkEnd w:id="6"/>
            <w:r>
              <w:rPr>
                <w:kern w:val="44"/>
                <w:sz w:val="21"/>
                <w:szCs w:val="24"/>
                <w:highlight w:val="none"/>
                <w:lang w:val="en-US" w:eastAsia="zh-CN" w:bidi="ar"/>
              </w:rPr>
              <w:fldChar w:fldCharType="begin">
                <w:ffData>
                  <w:name w:val="Text11"/>
                  <w:enabled/>
                  <w:calcOnExit w:val="0"/>
                  <w:textInput>
                    <w:default w:val="经理财产品管理人评估，购买本理财产品的投资者的风险承受能力评级须为稳健型、平衡型、成长型和进取型。"/>
                  </w:textInput>
                </w:ffData>
              </w:fldChar>
            </w:r>
            <w:r>
              <w:rPr>
                <w:kern w:val="44"/>
                <w:sz w:val="21"/>
                <w:szCs w:val="24"/>
                <w:highlight w:val="none"/>
                <w:lang w:val="en-US" w:eastAsia="zh-CN" w:bidi="ar"/>
              </w:rPr>
              <w:instrText xml:space="preserve">FORMTEXT</w:instrText>
            </w:r>
            <w:r>
              <w:rPr>
                <w:kern w:val="44"/>
                <w:sz w:val="21"/>
                <w:szCs w:val="24"/>
                <w:highlight w:val="none"/>
                <w:lang w:val="en-US" w:eastAsia="zh-CN" w:bidi="ar"/>
              </w:rPr>
              <w:fldChar w:fldCharType="separate"/>
            </w:r>
            <w:r>
              <w:rPr>
                <w:kern w:val="44"/>
                <w:sz w:val="21"/>
                <w:szCs w:val="24"/>
                <w:highlight w:val="none"/>
                <w:lang w:val="en-US" w:eastAsia="zh-CN" w:bidi="ar"/>
              </w:rPr>
              <w:t>经理财产品管理人评估，购买本理财产品的投资者的风险承受能力评级须为稳健型、平衡型、成长型和进取型。</w:t>
            </w:r>
            <w:r>
              <w:rPr>
                <w:kern w:val="44"/>
                <w:sz w:val="21"/>
                <w:szCs w:val="24"/>
                <w:highlight w:val="none"/>
                <w:lang w:val="en-US" w:eastAsia="zh-CN" w:bidi="ar"/>
              </w:rPr>
              <w:fldChar w:fldCharType="end"/>
            </w:r>
            <w:bookmarkStart w:id="7" w:name="Text52"/>
            <w:r>
              <w:rPr>
                <w:rFonts w:hint="default"/>
                <w:kern w:val="44"/>
                <w:sz w:val="21"/>
                <w:szCs w:val="24"/>
                <w:highlight w:val="none"/>
                <w:lang w:val="en-US" w:eastAsia="zh-CN" w:bidi="ar"/>
              </w:rPr>
              <w:fldChar w:fldCharType="begin">
                <w:ffData>
                  <w:name w:val="Text52"/>
                  <w:enabled/>
                  <w:calcOnExit w:val="0"/>
                  <w:textInput>
                    <w:default w:val="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rPr>
                <w:rFonts w:hint="default"/>
                <w:kern w:val="44"/>
                <w:sz w:val="21"/>
                <w:szCs w:val="24"/>
                <w:highlight w:val="none"/>
                <w:lang w:val="en-US" w:eastAsia="zh-CN" w:bidi="ar"/>
              </w:rPr>
              <w:instrText xml:space="preserve">FORMTEXT</w:instrText>
            </w:r>
            <w:r>
              <w:rPr>
                <w:rFonts w:hint="default"/>
                <w:kern w:val="44"/>
                <w:sz w:val="21"/>
                <w:szCs w:val="24"/>
                <w:highlight w:val="none"/>
                <w:lang w:val="en-US" w:eastAsia="zh-CN" w:bidi="ar"/>
              </w:rPr>
              <w:fldChar w:fldCharType="separate"/>
            </w:r>
            <w:r>
              <w:rPr>
                <w:rFonts w:hint="default"/>
                <w:kern w:val="44"/>
                <w:sz w:val="21"/>
                <w:szCs w:val="24"/>
                <w:highlight w:val="none"/>
                <w:lang w:val="en-US" w:eastAsia="zh-CN" w:bidi="ar"/>
              </w:rPr>
              <w:t>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rPr>
                <w:rFonts w:hint="default"/>
                <w:kern w:val="44"/>
                <w:sz w:val="21"/>
                <w:szCs w:val="24"/>
                <w:highlight w:val="none"/>
                <w:lang w:val="en-US" w:eastAsia="zh-CN" w:bidi="ar"/>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认购/申购起点金额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J份额：【40】万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J份额：【40】万元。</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认购/申购递增金额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bookmarkStart w:id="8" w:name="Text60"/>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J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J份额：【1】元。</w:t>
            </w:r>
            <w:r>
              <w:rPr>
                <w:rFonts w:ascii="Times New Roman" w:hAnsi="Times New Roman" w:eastAsia="宋体" w:cs="Times New Roman"/>
                <w:kern w:val="0"/>
                <w:sz w:val="21"/>
                <w:szCs w:val="24"/>
                <w:highlight w:val="none"/>
                <w:lang w:val="en-US" w:eastAsia="zh-CN" w:bidi="ar-SA"/>
              </w:rPr>
              <w:fldChar w:fldCharType="end"/>
            </w:r>
            <w:bookmarkEnd w:id="8"/>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最小赎回份额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J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J份额：【0.01】份。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最低持有份额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J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J份额：【0.01】份。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w:t>
            </w:r>
            <w:r>
              <w:rPr>
                <w:rFonts w:hint="eastAsia"/>
                <w:color w:val="000000"/>
                <w:kern w:val="0"/>
                <w:szCs w:val="21"/>
                <w:highlight w:val="none"/>
                <w:lang w:eastAsia="zh-CN"/>
              </w:rPr>
              <w:t>金额限制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bookmarkStart w:id="9" w:name="Text43"/>
            <w:r>
              <w:rPr>
                <w:rFonts w:hint="eastAsia" w:ascii="Times New Roman" w:hAnsi="Times New Roman" w:eastAsia="宋体" w:cs="Times New Roman"/>
                <w:kern w:val="0"/>
                <w:sz w:val="21"/>
                <w:szCs w:val="24"/>
                <w:highlight w:val="none"/>
                <w:lang w:val="en-US" w:eastAsia="zh-CN" w:bidi="ar-SA"/>
              </w:rPr>
              <w:fldChar w:fldCharType="begin">
                <w:ffData>
                  <w:name w:val="ଂ_x0006_ȇࠅЂ"/>
                  <w:enabled/>
                  <w:calcOnExit w:val="0"/>
                  <w:textInput>
                    <w:default w:val="J份额：无限制。"/>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J份额：无限制。</w:t>
            </w:r>
            <w:r>
              <w:rPr>
                <w:rFonts w:hint="eastAsia" w:ascii="Times New Roman" w:hAnsi="Times New Roman" w:eastAsia="宋体" w:cs="Times New Roman"/>
                <w:kern w:val="0"/>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Text43"/>
                  <w:enabled/>
                  <w:calcOnExit w:val="0"/>
                  <w:textInput>
                    <w:default w:val="管理人可对认购/申购金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管理人可对认购/申购金额限制进行调整，并以公告方式进行信息披露。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赎回</w:t>
            </w:r>
            <w:r>
              <w:rPr>
                <w:rFonts w:hint="eastAsia"/>
                <w:color w:val="000000"/>
                <w:kern w:val="0"/>
                <w:szCs w:val="21"/>
                <w:highlight w:val="none"/>
                <w:lang w:eastAsia="zh-CN"/>
              </w:rPr>
              <w:t>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bookmarkStart w:id="10" w:name="ଂ_x0006_ȇࠅЂ"/>
            <w:r>
              <w:rPr>
                <w:rFonts w:hint="eastAsia" w:ascii="Times New Roman" w:hAnsi="Times New Roman" w:eastAsia="宋体" w:cs="Times New Roman"/>
                <w:kern w:val="0"/>
                <w:sz w:val="21"/>
                <w:szCs w:val="24"/>
                <w:highlight w:val="none"/>
                <w:lang w:val="en-US" w:eastAsia="zh-CN" w:bidi="ar-SA"/>
              </w:rPr>
              <w:fldChar w:fldCharType="begin">
                <w:ffData>
                  <w:name w:val="ଂ_x0006_ȇࠅЂ"/>
                  <w:enabled/>
                  <w:calcOnExit w:val="0"/>
                  <w:textInput>
                    <w:default w:val="J份额：无限制。"/>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J份额：无限制。</w:t>
            </w:r>
            <w:r>
              <w:rPr>
                <w:rFonts w:hint="eastAsia" w:ascii="Times New Roman" w:hAnsi="Times New Roman" w:eastAsia="宋体" w:cs="Times New Roman"/>
                <w:kern w:val="0"/>
                <w:sz w:val="21"/>
                <w:szCs w:val="24"/>
                <w:highlight w:val="none"/>
                <w:lang w:val="en-US" w:eastAsia="zh-CN" w:bidi="ar-SA"/>
              </w:rPr>
              <w:fldChar w:fldCharType="end"/>
            </w:r>
            <w:bookmarkEnd w:id="10"/>
          </w:p>
          <w:p>
            <w:pPr>
              <w:spacing w:beforeLines="0" w:afterLines="0" w:line="360" w:lineRule="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管理人可对赎回份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管理人可对赎回份额限制进行调整，并以公告方式进行信息披露。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r>
              <w:rPr>
                <w:b/>
                <w:bCs/>
                <w:highlight w:val="none"/>
              </w:rPr>
              <w:t>如发生巨额赎回，</w:t>
            </w:r>
            <w:r>
              <w:rPr>
                <w:rFonts w:hint="eastAsia"/>
                <w:b/>
                <w:bCs/>
                <w:highlight w:val="none"/>
                <w:lang w:eastAsia="zh-CN"/>
              </w:rPr>
              <w:t>则</w:t>
            </w:r>
            <w:r>
              <w:rPr>
                <w:b/>
                <w:bCs/>
                <w:highlight w:val="none"/>
              </w:rPr>
              <w:t>按照理财产品合同约定的巨额赎回处理。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bookmarkStart w:id="11" w:name="Text87"/>
            <w:bookmarkStart w:id="12" w:name="Text80"/>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J份额：1.6%-2.3%（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J份额：1.6%-2.3%（年化）</w:t>
            </w:r>
            <w:r>
              <w:rPr>
                <w:rFonts w:hint="default" w:ascii="Times New Roman" w:hAnsi="Times New Roman" w:eastAsia="宋体" w:cs="Times New Roman"/>
                <w:kern w:val="0"/>
                <w:sz w:val="21"/>
                <w:szCs w:val="24"/>
                <w:highlight w:val="none"/>
                <w:lang w:val="en-US" w:eastAsia="zh-CN" w:bidi="ar-SA"/>
              </w:rPr>
              <w:fldChar w:fldCharType="end"/>
            </w:r>
            <w:bookmarkEnd w:id="11"/>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kern w:val="44"/>
                <w:highlight w:val="none"/>
                <w:lang w:bidi="ar"/>
              </w:rPr>
            </w:pPr>
            <w:r>
              <w:rPr>
                <w:rFonts w:hint="default" w:ascii="Times New Roman" w:hAnsi="Times New Roman" w:eastAsia="宋体" w:cs="Times New Roman"/>
                <w:kern w:val="0"/>
                <w:sz w:val="21"/>
                <w:szCs w:val="24"/>
                <w:highlight w:val="none"/>
                <w:lang w:val="en-US" w:eastAsia="zh-CN" w:bidi="ar-SA"/>
              </w:rPr>
              <w:fldChar w:fldCharType="begin">
                <w:ffData>
                  <w:name w:val="Text80"/>
                  <w:enabled/>
                  <w:calcOnExit w:val="0"/>
                  <w:textInput>
                    <w:default w:val="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w:t>
            </w:r>
            <w:r>
              <w:rPr>
                <w:rFonts w:hint="default" w:ascii="Times New Roman" w:hAnsi="Times New Roman" w:eastAsia="宋体" w:cs="Times New Roman"/>
                <w:kern w:val="0"/>
                <w:sz w:val="21"/>
                <w:szCs w:val="24"/>
                <w:highlight w:val="none"/>
                <w:lang w:val="en-US" w:eastAsia="zh-CN" w:bidi="ar-SA"/>
              </w:rP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jc w:val="center"/>
              <w:rPr>
                <w:color w:val="000000"/>
                <w:kern w:val="0"/>
                <w:szCs w:val="21"/>
                <w:highlight w:val="none"/>
              </w:rPr>
            </w:pPr>
            <w:r>
              <w:rPr>
                <w:rFonts w:ascii="Times New Roman" w:hAnsi="Times New Roman" w:cs="Times New Roman"/>
                <w:color w:val="000000"/>
                <w:kern w:val="0"/>
                <w:szCs w:val="21"/>
                <w:highlight w:val="none"/>
              </w:rPr>
              <w:t>产品费用</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1. 固定管理费率：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【0.50】%/年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2. 销售费率：</w:t>
            </w:r>
            <w:bookmarkStart w:id="13" w:name="Text14"/>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J份额：【0.5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J份额：【0.50】%/年</w:t>
            </w:r>
            <w:r>
              <w:rPr>
                <w:rFonts w:ascii="Times New Roman" w:hAnsi="Times New Roman" w:eastAsia="宋体" w:cs="Times New Roman"/>
                <w:kern w:val="0"/>
                <w:sz w:val="21"/>
                <w:szCs w:val="24"/>
                <w:highlight w:val="none"/>
                <w:lang w:val="en-US" w:eastAsia="zh-CN" w:bidi="ar-SA"/>
              </w:rPr>
              <w:fldChar w:fldCharType="end"/>
            </w:r>
            <w:bookmarkEnd w:id="13"/>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3. 托管费率：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02】%/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【0.02】%/年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hint="default"/>
                <w:kern w:val="44"/>
                <w:sz w:val="21"/>
                <w:szCs w:val="24"/>
                <w:highlight w:val="none"/>
                <w:lang w:val="en-US" w:eastAsia="zh-CN" w:bidi="ar-SA"/>
              </w:rPr>
            </w:pPr>
            <w:r>
              <w:rPr>
                <w:rFonts w:hint="default" w:ascii="Times New Roman" w:hAnsi="Times New Roman" w:cs="Times New Roman"/>
                <w:highlight w:val="none"/>
                <w:lang w:val="en-US" w:eastAsia="zh-CN"/>
              </w:rPr>
              <w:t>4</w:t>
            </w:r>
            <w:r>
              <w:rPr>
                <w:rFonts w:ascii="Times New Roman" w:hAnsi="Times New Roman" w:cs="Times New Roman"/>
                <w:b/>
                <w:bCs/>
                <w:color w:val="000000"/>
                <w:kern w:val="0"/>
                <w:szCs w:val="21"/>
                <w:highlight w:val="none"/>
              </w:rPr>
              <w:t xml:space="preserve">. </w:t>
            </w:r>
            <w:r>
              <w:rPr>
                <w:rFonts w:ascii="Times New Roman" w:hAnsi="Times New Roman" w:cs="Times New Roman"/>
                <w:color w:val="000000"/>
                <w:kern w:val="0"/>
                <w:szCs w:val="21"/>
                <w:highlight w:val="none"/>
              </w:rPr>
              <w:t>其他费用：</w:t>
            </w:r>
            <w:r>
              <w:rPr>
                <w:rFonts w:ascii="Times New Roman" w:hAnsi="Times New Roman" w:cs="Times New Roman"/>
                <w:color w:val="000000"/>
                <w:kern w:val="44"/>
                <w:szCs w:val="21"/>
                <w:highlight w:val="none"/>
              </w:rPr>
              <w:t>会计师费、律师费、交易费、手续费等按照国家有关法令规定属于理财资产应列支和承担的一切费用，具体以实际发生为准，按相关法令规定或合同约定支付。</w:t>
            </w:r>
          </w:p>
        </w:tc>
      </w:tr>
    </w:tbl>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bookmarkStart w:id="14" w:name="Text5"/>
      <w:r>
        <w:rPr>
          <w:rFonts w:hint="eastAsia" w:ascii="宋体" w:hAnsi="宋体" w:eastAsia="宋体" w:cs="宋体"/>
          <w:b w:val="0"/>
          <w:bCs/>
          <w:kern w:val="2"/>
          <w:sz w:val="21"/>
          <w:szCs w:val="21"/>
          <w:lang w:val="en-US" w:eastAsia="zh-CN" w:bidi="ar-SA"/>
        </w:rPr>
        <w:fldChar w:fldCharType="begin">
          <w:ffData>
            <w:name w:val="Text5"/>
            <w:enabled/>
            <w:calcOnExit w:val="0"/>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     </w:t>
      </w:r>
      <w:r>
        <w:rPr>
          <w:rFonts w:hint="eastAsia" w:ascii="宋体" w:hAnsi="宋体" w:eastAsia="宋体" w:cs="宋体"/>
          <w:b w:val="0"/>
          <w:bCs/>
          <w:kern w:val="2"/>
          <w:sz w:val="21"/>
          <w:szCs w:val="21"/>
          <w:lang w:val="en-US" w:eastAsia="zh-CN" w:bidi="ar-SA"/>
        </w:rPr>
        <w:fldChar w:fldCharType="end"/>
      </w:r>
      <w:bookmarkEnd w:id="14"/>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Times New Roman" w:hAnsi="Times New Roman" w:eastAsia="宋体" w:cs="Times New Roman"/>
          <w:kern w:val="0"/>
          <w:sz w:val="21"/>
          <w:szCs w:val="24"/>
          <w:highlight w:val="none"/>
          <w:lang w:val="en-US" w:eastAsia="zh-CN" w:bidi="ar-SA"/>
        </w:rPr>
      </w:pPr>
      <w:bookmarkStart w:id="15" w:name="Text44"/>
      <w:r>
        <w:rPr>
          <w:rFonts w:hint="eastAsia" w:ascii="Times New Roman" w:hAnsi="Times New Roman" w:eastAsia="宋体" w:cs="Times New Roman"/>
          <w:kern w:val="0"/>
          <w:sz w:val="21"/>
          <w:szCs w:val="24"/>
          <w:highlight w:val="none"/>
          <w:lang w:val="en-US" w:eastAsia="zh-CN" w:bidi="ar-SA"/>
        </w:rPr>
        <w:fldChar w:fldCharType="begin">
          <w:ffData>
            <w:name w:val="Text44"/>
            <w:enabled/>
            <w:calcOnExit w:val="0"/>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     </w:t>
      </w:r>
      <w:r>
        <w:rPr>
          <w:rFonts w:hint="eastAsia" w:ascii="Times New Roman" w:hAnsi="Times New Roman" w:eastAsia="宋体" w:cs="Times New Roman"/>
          <w:kern w:val="0"/>
          <w:sz w:val="21"/>
          <w:szCs w:val="24"/>
          <w:highlight w:val="none"/>
          <w:lang w:val="en-US" w:eastAsia="zh-CN" w:bidi="ar-SA"/>
        </w:rPr>
        <w:fldChar w:fldCharType="end"/>
      </w:r>
      <w:bookmarkEnd w:id="15"/>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kern w:val="2"/>
          <w:sz w:val="21"/>
          <w:szCs w:val="21"/>
          <w:lang w:val="en-US" w:eastAsia="zh-CN" w:bidi="ar-SA"/>
        </w:rPr>
        <w:t>有关修改详见管理人更新后的</w:t>
      </w:r>
      <w:bookmarkStart w:id="16" w:name="Text4"/>
      <w:r>
        <w:rPr>
          <w:rFonts w:hint="default" w:ascii="宋体" w:hAnsi="宋体" w:eastAsia="宋体" w:cs="宋体"/>
          <w:b w:val="0"/>
          <w:bCs/>
          <w:kern w:val="2"/>
          <w:sz w:val="21"/>
          <w:szCs w:val="21"/>
          <w:lang w:val="en-US" w:eastAsia="zh-CN" w:bidi="ar-SA"/>
        </w:rPr>
        <w:fldChar w:fldCharType="begin">
          <w:ffData>
            <w:name w:val="Text4"/>
            <w:enabled/>
            <w:calcOnExit w:val="0"/>
            <w:textInput>
              <w:default w:val="《理财产品风险揭示书》《理财产品说明书》《理财产品投资者权益须知》及《理财产品投资协议书》"/>
            </w:textInput>
          </w:ffData>
        </w:fldChar>
      </w:r>
      <w:r>
        <w:rPr>
          <w:rFonts w:hint="default" w:ascii="宋体" w:hAnsi="宋体" w:eastAsia="宋体" w:cs="宋体"/>
          <w:b w:val="0"/>
          <w:bCs/>
          <w:kern w:val="2"/>
          <w:sz w:val="21"/>
          <w:szCs w:val="21"/>
          <w:lang w:val="en-US" w:eastAsia="zh-CN" w:bidi="ar-SA"/>
        </w:rPr>
        <w:instrText xml:space="preserve">FORMTEXT</w:instrText>
      </w:r>
      <w:r>
        <w:rPr>
          <w:rFonts w:hint="default" w:ascii="宋体" w:hAnsi="宋体" w:eastAsia="宋体" w:cs="宋体"/>
          <w:b w:val="0"/>
          <w:bCs/>
          <w:kern w:val="2"/>
          <w:sz w:val="21"/>
          <w:szCs w:val="21"/>
          <w:lang w:val="en-US" w:eastAsia="zh-CN" w:bidi="ar-SA"/>
        </w:rPr>
        <w:fldChar w:fldCharType="separate"/>
      </w:r>
      <w:r>
        <w:rPr>
          <w:rFonts w:hint="default" w:ascii="宋体" w:hAnsi="宋体" w:eastAsia="宋体" w:cs="宋体"/>
          <w:b w:val="0"/>
          <w:bCs/>
          <w:kern w:val="2"/>
          <w:sz w:val="21"/>
          <w:szCs w:val="21"/>
          <w:lang w:val="en-US" w:eastAsia="zh-CN" w:bidi="ar-SA"/>
        </w:rPr>
        <w:t>《理财产品风险揭示书》《理财产品说明书》《理财产品投资者权益须知》及《理财产品投资协议书》</w:t>
      </w:r>
      <w:r>
        <w:rPr>
          <w:rFonts w:hint="default" w:ascii="宋体" w:hAnsi="宋体" w:eastAsia="宋体" w:cs="宋体"/>
          <w:b w:val="0"/>
          <w:bCs/>
          <w:kern w:val="2"/>
          <w:sz w:val="21"/>
          <w:szCs w:val="21"/>
          <w:lang w:val="en-US" w:eastAsia="zh-CN" w:bidi="ar-SA"/>
        </w:rPr>
        <w:fldChar w:fldCharType="end"/>
      </w:r>
      <w:bookmarkEnd w:id="16"/>
      <w:r>
        <w:rPr>
          <w:rFonts w:hint="eastAsia" w:ascii="宋体" w:hAnsi="宋体" w:eastAsia="宋体" w:cs="宋体"/>
          <w:b w:val="0"/>
          <w:bCs/>
          <w:kern w:val="2"/>
          <w:sz w:val="21"/>
          <w:szCs w:val="21"/>
          <w:lang w:val="en-US" w:eastAsia="zh-CN" w:bidi="ar-SA"/>
        </w:rPr>
        <w:t>。此次调整不会对存量份额持有人产生实质性影响</w:t>
      </w:r>
      <w:r>
        <w:rPr>
          <w:rFonts w:hint="eastAsia" w:ascii="宋体" w:hAnsi="宋体" w:cs="宋体"/>
          <w:b w:val="0"/>
          <w:bCs/>
          <w:kern w:val="2"/>
          <w:sz w:val="21"/>
          <w:szCs w:val="21"/>
          <w:lang w:val="en-US" w:eastAsia="zh-CN" w:bidi="ar-SA"/>
        </w:rPr>
        <w:t>，</w:t>
      </w:r>
      <w:r>
        <w:rPr>
          <w:rFonts w:hint="eastAsia" w:ascii="宋体" w:hAnsi="宋体" w:eastAsia="宋体" w:cs="宋体"/>
          <w:sz w:val="21"/>
          <w:szCs w:val="21"/>
          <w:lang w:val="en-US" w:eastAsia="zh-CN"/>
        </w:rPr>
        <w:t>投资者可在每个产品开放日通过代理销售机构办理相关业务。</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感谢您</w:t>
      </w:r>
      <w:r>
        <w:rPr>
          <w:rFonts w:hint="eastAsia" w:ascii="宋体" w:hAnsi="宋体" w:eastAsia="宋体" w:cs="宋体"/>
          <w:sz w:val="21"/>
          <w:szCs w:val="21"/>
          <w:lang w:val="en-US" w:eastAsia="zh-CN"/>
        </w:rPr>
        <w:t>一直以来</w:t>
      </w:r>
      <w:r>
        <w:rPr>
          <w:rFonts w:hint="eastAsia" w:ascii="宋体" w:hAnsi="宋体" w:eastAsia="宋体" w:cs="宋体"/>
          <w:sz w:val="21"/>
          <w:szCs w:val="21"/>
        </w:rPr>
        <w:t>对</w:t>
      </w:r>
      <w:r>
        <w:rPr>
          <w:rFonts w:hint="eastAsia" w:ascii="宋体" w:hAnsi="宋体" w:eastAsia="宋体" w:cs="宋体"/>
          <w:sz w:val="21"/>
          <w:szCs w:val="21"/>
          <w:lang w:val="en-US" w:eastAsia="zh-CN"/>
        </w:rPr>
        <w:t>民生理财有限责任公司的</w:t>
      </w:r>
      <w:r>
        <w:rPr>
          <w:rFonts w:hint="eastAsia" w:ascii="宋体" w:hAnsi="宋体" w:eastAsia="宋体" w:cs="宋体"/>
          <w:sz w:val="21"/>
          <w:szCs w:val="21"/>
        </w:rPr>
        <w:t>支持！敬请关注民生</w:t>
      </w:r>
      <w:r>
        <w:rPr>
          <w:rFonts w:hint="eastAsia" w:ascii="宋体" w:hAnsi="宋体" w:eastAsia="宋体" w:cs="宋体"/>
          <w:sz w:val="21"/>
          <w:szCs w:val="21"/>
          <w:lang w:val="en-US" w:eastAsia="zh-CN"/>
        </w:rPr>
        <w:t>理财正在热销</w:t>
      </w:r>
      <w:r>
        <w:rPr>
          <w:rFonts w:hint="eastAsia" w:ascii="宋体" w:hAnsi="宋体" w:eastAsia="宋体" w:cs="宋体"/>
          <w:sz w:val="21"/>
          <w:szCs w:val="21"/>
        </w:rPr>
        <w:t>的理财产品。</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特此公告。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民生理财有限责任公司</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bookmarkStart w:id="17" w:name="Text7"/>
      <w:r>
        <w:rPr>
          <w:rFonts w:hint="eastAsia" w:ascii="宋体" w:hAnsi="宋体" w:eastAsia="宋体" w:cs="宋体"/>
          <w:kern w:val="2"/>
          <w:sz w:val="21"/>
          <w:szCs w:val="21"/>
          <w:vertAlign w:val="baseline"/>
          <w:lang w:val="en-US" w:eastAsia="zh-CN" w:bidi="ar-SA"/>
        </w:rPr>
        <w:fldChar w:fldCharType="begin">
          <w:ffData>
            <w:name w:val="Text7"/>
            <w:enabled/>
            <w:calcOnExit w:val="0"/>
            <w:textInput>
              <w:default w:val="2026年4月15日"/>
            </w:textInput>
          </w:ffData>
        </w:fldChar>
      </w:r>
      <w:r>
        <w:rPr>
          <w:rFonts w:hint="eastAsia" w:ascii="宋体" w:hAnsi="宋体" w:eastAsia="宋体" w:cs="宋体"/>
          <w:kern w:val="2"/>
          <w:sz w:val="21"/>
          <w:szCs w:val="21"/>
          <w:vertAlign w:val="baseline"/>
          <w:lang w:val="en-US" w:eastAsia="zh-CN" w:bidi="ar-SA"/>
        </w:rPr>
        <w:instrText xml:space="preserve">FORMTEXT</w:instrText>
      </w:r>
      <w:r>
        <w:rPr>
          <w:rFonts w:hint="eastAsia" w:ascii="宋体" w:hAnsi="宋体" w:eastAsia="宋体" w:cs="宋体"/>
          <w:kern w:val="2"/>
          <w:sz w:val="21"/>
          <w:szCs w:val="21"/>
          <w:vertAlign w:val="baseline"/>
          <w:lang w:val="en-US" w:eastAsia="zh-CN" w:bidi="ar-SA"/>
        </w:rPr>
        <w:fldChar w:fldCharType="separate"/>
      </w:r>
      <w:r>
        <w:rPr>
          <w:rFonts w:hint="eastAsia" w:ascii="宋体" w:hAnsi="宋体" w:eastAsia="宋体" w:cs="宋体"/>
          <w:kern w:val="2"/>
          <w:sz w:val="21"/>
          <w:szCs w:val="21"/>
          <w:vertAlign w:val="baseline"/>
          <w:lang w:val="en-US" w:eastAsia="zh-CN" w:bidi="ar-SA"/>
        </w:rPr>
        <w:t>2026年4月15日</w:t>
      </w:r>
      <w:r>
        <w:rPr>
          <w:rFonts w:hint="eastAsia" w:ascii="宋体" w:hAnsi="宋体" w:eastAsia="宋体" w:cs="宋体"/>
          <w:kern w:val="2"/>
          <w:sz w:val="21"/>
          <w:szCs w:val="21"/>
          <w:vertAlign w:val="baseline"/>
          <w:lang w:val="en-US" w:eastAsia="zh-CN" w:bidi="ar-SA"/>
        </w:rPr>
        <w:fldChar w:fldCharType="end"/>
      </w:r>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FCF"/>
    <w:rsid w:val="007754F2"/>
    <w:rsid w:val="00D01542"/>
    <w:rsid w:val="00F75492"/>
    <w:rsid w:val="011E22A5"/>
    <w:rsid w:val="01711626"/>
    <w:rsid w:val="01BC06E8"/>
    <w:rsid w:val="01D03BB3"/>
    <w:rsid w:val="029435FE"/>
    <w:rsid w:val="02CD2B18"/>
    <w:rsid w:val="02F0532B"/>
    <w:rsid w:val="030F09AF"/>
    <w:rsid w:val="04F27D1F"/>
    <w:rsid w:val="05567BCF"/>
    <w:rsid w:val="058E0893"/>
    <w:rsid w:val="05CB0295"/>
    <w:rsid w:val="066324B6"/>
    <w:rsid w:val="06655073"/>
    <w:rsid w:val="070815B1"/>
    <w:rsid w:val="072A18BF"/>
    <w:rsid w:val="090614F3"/>
    <w:rsid w:val="0949658A"/>
    <w:rsid w:val="094F7CD1"/>
    <w:rsid w:val="0A3D5931"/>
    <w:rsid w:val="0A7A49BE"/>
    <w:rsid w:val="0A840B0B"/>
    <w:rsid w:val="0BA00B5F"/>
    <w:rsid w:val="0D307569"/>
    <w:rsid w:val="0D39380C"/>
    <w:rsid w:val="0DF20370"/>
    <w:rsid w:val="0E84390F"/>
    <w:rsid w:val="0F101C83"/>
    <w:rsid w:val="0F7E213C"/>
    <w:rsid w:val="0FF26413"/>
    <w:rsid w:val="10097209"/>
    <w:rsid w:val="110A7385"/>
    <w:rsid w:val="1170203B"/>
    <w:rsid w:val="11A41173"/>
    <w:rsid w:val="11C61AC3"/>
    <w:rsid w:val="11E164E5"/>
    <w:rsid w:val="121F5A22"/>
    <w:rsid w:val="125E66E4"/>
    <w:rsid w:val="13130346"/>
    <w:rsid w:val="13364C66"/>
    <w:rsid w:val="134D53A7"/>
    <w:rsid w:val="136C3FC9"/>
    <w:rsid w:val="13D209C0"/>
    <w:rsid w:val="14427871"/>
    <w:rsid w:val="145C6999"/>
    <w:rsid w:val="14800EEB"/>
    <w:rsid w:val="154F1F7B"/>
    <w:rsid w:val="16A55177"/>
    <w:rsid w:val="172E52F2"/>
    <w:rsid w:val="17A90B89"/>
    <w:rsid w:val="17CC230C"/>
    <w:rsid w:val="17CE0A62"/>
    <w:rsid w:val="17EF7C85"/>
    <w:rsid w:val="1886238E"/>
    <w:rsid w:val="18BF797F"/>
    <w:rsid w:val="19D24A40"/>
    <w:rsid w:val="19EE1434"/>
    <w:rsid w:val="1A582853"/>
    <w:rsid w:val="1AA4758C"/>
    <w:rsid w:val="1C2721F1"/>
    <w:rsid w:val="1C85102B"/>
    <w:rsid w:val="1CBE3893"/>
    <w:rsid w:val="1CE5034C"/>
    <w:rsid w:val="1DF27107"/>
    <w:rsid w:val="1E050959"/>
    <w:rsid w:val="1E051523"/>
    <w:rsid w:val="1E0965FC"/>
    <w:rsid w:val="1E133467"/>
    <w:rsid w:val="1E2F072D"/>
    <w:rsid w:val="1FE92264"/>
    <w:rsid w:val="20397E91"/>
    <w:rsid w:val="20536FB9"/>
    <w:rsid w:val="205468F0"/>
    <w:rsid w:val="205A1C95"/>
    <w:rsid w:val="208732C1"/>
    <w:rsid w:val="213C310A"/>
    <w:rsid w:val="22867CC2"/>
    <w:rsid w:val="240A19EC"/>
    <w:rsid w:val="24310265"/>
    <w:rsid w:val="247B45E7"/>
    <w:rsid w:val="24B33DA7"/>
    <w:rsid w:val="24D1520C"/>
    <w:rsid w:val="24D44A97"/>
    <w:rsid w:val="259B2606"/>
    <w:rsid w:val="25C1601B"/>
    <w:rsid w:val="25D078E2"/>
    <w:rsid w:val="263D03D3"/>
    <w:rsid w:val="26763DFB"/>
    <w:rsid w:val="26C7447F"/>
    <w:rsid w:val="279772B3"/>
    <w:rsid w:val="27DA724D"/>
    <w:rsid w:val="28091D38"/>
    <w:rsid w:val="282947F3"/>
    <w:rsid w:val="28913E9A"/>
    <w:rsid w:val="28AC2371"/>
    <w:rsid w:val="290F148E"/>
    <w:rsid w:val="29225ADF"/>
    <w:rsid w:val="29855BF1"/>
    <w:rsid w:val="2A055BE8"/>
    <w:rsid w:val="2A26797A"/>
    <w:rsid w:val="2A9A1EF5"/>
    <w:rsid w:val="2B76703A"/>
    <w:rsid w:val="2B7F517B"/>
    <w:rsid w:val="2C87189D"/>
    <w:rsid w:val="2CD2711E"/>
    <w:rsid w:val="2D104B23"/>
    <w:rsid w:val="2D953FBC"/>
    <w:rsid w:val="30D82742"/>
    <w:rsid w:val="31CA60F3"/>
    <w:rsid w:val="33F062E8"/>
    <w:rsid w:val="345A58AB"/>
    <w:rsid w:val="345C39F7"/>
    <w:rsid w:val="348219C2"/>
    <w:rsid w:val="34B643B7"/>
    <w:rsid w:val="364D63EA"/>
    <w:rsid w:val="36C25402"/>
    <w:rsid w:val="3771784D"/>
    <w:rsid w:val="37932CC7"/>
    <w:rsid w:val="37C75B0A"/>
    <w:rsid w:val="38145279"/>
    <w:rsid w:val="38466C54"/>
    <w:rsid w:val="39756175"/>
    <w:rsid w:val="3ACD33C9"/>
    <w:rsid w:val="3BED3519"/>
    <w:rsid w:val="3BF66DE5"/>
    <w:rsid w:val="3CC011CC"/>
    <w:rsid w:val="3D5D5A1C"/>
    <w:rsid w:val="3E61605F"/>
    <w:rsid w:val="3ED801B7"/>
    <w:rsid w:val="3EFE3F03"/>
    <w:rsid w:val="3FF25841"/>
    <w:rsid w:val="40126CC4"/>
    <w:rsid w:val="40A53F33"/>
    <w:rsid w:val="40D7507E"/>
    <w:rsid w:val="411F019D"/>
    <w:rsid w:val="41A42AF9"/>
    <w:rsid w:val="426031B1"/>
    <w:rsid w:val="43505534"/>
    <w:rsid w:val="436E2C30"/>
    <w:rsid w:val="448C255B"/>
    <w:rsid w:val="448F2D07"/>
    <w:rsid w:val="44DF4B32"/>
    <w:rsid w:val="45180060"/>
    <w:rsid w:val="45B01E1F"/>
    <w:rsid w:val="45EC2D5B"/>
    <w:rsid w:val="46571E60"/>
    <w:rsid w:val="46CB0A54"/>
    <w:rsid w:val="47812160"/>
    <w:rsid w:val="478C0A68"/>
    <w:rsid w:val="47CA5719"/>
    <w:rsid w:val="47F25669"/>
    <w:rsid w:val="480C42C3"/>
    <w:rsid w:val="48EC70BB"/>
    <w:rsid w:val="49B45094"/>
    <w:rsid w:val="49ED7F4F"/>
    <w:rsid w:val="4A0064B4"/>
    <w:rsid w:val="4A2919EB"/>
    <w:rsid w:val="4A94318F"/>
    <w:rsid w:val="4B056A7D"/>
    <w:rsid w:val="4B2C1A33"/>
    <w:rsid w:val="4CB4682F"/>
    <w:rsid w:val="4DFE2E32"/>
    <w:rsid w:val="4E5578AC"/>
    <w:rsid w:val="509321F9"/>
    <w:rsid w:val="509D23DD"/>
    <w:rsid w:val="51CB73DF"/>
    <w:rsid w:val="51F922C4"/>
    <w:rsid w:val="55177918"/>
    <w:rsid w:val="579B542D"/>
    <w:rsid w:val="5808024E"/>
    <w:rsid w:val="589B3B73"/>
    <w:rsid w:val="58A13F6B"/>
    <w:rsid w:val="598A66DE"/>
    <w:rsid w:val="59FE204F"/>
    <w:rsid w:val="5A9B4084"/>
    <w:rsid w:val="5B0B1B8C"/>
    <w:rsid w:val="5B232664"/>
    <w:rsid w:val="5C3B12A9"/>
    <w:rsid w:val="5CCD537D"/>
    <w:rsid w:val="5D8764E9"/>
    <w:rsid w:val="5DC179FF"/>
    <w:rsid w:val="600F12A5"/>
    <w:rsid w:val="60A33E26"/>
    <w:rsid w:val="60BA277C"/>
    <w:rsid w:val="60F875EE"/>
    <w:rsid w:val="6142577F"/>
    <w:rsid w:val="636F045F"/>
    <w:rsid w:val="63CF67CD"/>
    <w:rsid w:val="63DA4399"/>
    <w:rsid w:val="641C1EF0"/>
    <w:rsid w:val="649A2F75"/>
    <w:rsid w:val="649B5961"/>
    <w:rsid w:val="6571624E"/>
    <w:rsid w:val="661D1C23"/>
    <w:rsid w:val="667A6BA5"/>
    <w:rsid w:val="669D0EEA"/>
    <w:rsid w:val="67290C4D"/>
    <w:rsid w:val="673533A0"/>
    <w:rsid w:val="67952179"/>
    <w:rsid w:val="67EE4F89"/>
    <w:rsid w:val="68101B70"/>
    <w:rsid w:val="68331B48"/>
    <w:rsid w:val="68E7276B"/>
    <w:rsid w:val="69F61967"/>
    <w:rsid w:val="6AF42ACD"/>
    <w:rsid w:val="6B52734E"/>
    <w:rsid w:val="6BC50D76"/>
    <w:rsid w:val="6C3A03E1"/>
    <w:rsid w:val="6C3C4E3F"/>
    <w:rsid w:val="6CA639CD"/>
    <w:rsid w:val="6CCB038A"/>
    <w:rsid w:val="6D3A1056"/>
    <w:rsid w:val="6DC970CB"/>
    <w:rsid w:val="6EC868EA"/>
    <w:rsid w:val="6EDF073E"/>
    <w:rsid w:val="6EDF4F45"/>
    <w:rsid w:val="6F5649DA"/>
    <w:rsid w:val="6F952C46"/>
    <w:rsid w:val="701E2304"/>
    <w:rsid w:val="70B114FE"/>
    <w:rsid w:val="70E61A7D"/>
    <w:rsid w:val="71047FC8"/>
    <w:rsid w:val="71151333"/>
    <w:rsid w:val="723939C7"/>
    <w:rsid w:val="724805E1"/>
    <w:rsid w:val="726C37BE"/>
    <w:rsid w:val="7299748B"/>
    <w:rsid w:val="74661472"/>
    <w:rsid w:val="75CC3AF4"/>
    <w:rsid w:val="762E0520"/>
    <w:rsid w:val="76635464"/>
    <w:rsid w:val="7AB80DFB"/>
    <w:rsid w:val="7AD623D7"/>
    <w:rsid w:val="7B12229E"/>
    <w:rsid w:val="7B4870C0"/>
    <w:rsid w:val="7BCA7537"/>
    <w:rsid w:val="7C3A3560"/>
    <w:rsid w:val="7C611327"/>
    <w:rsid w:val="7C6F21CC"/>
    <w:rsid w:val="7C7B5DCE"/>
    <w:rsid w:val="7CB11915"/>
    <w:rsid w:val="7CB329A2"/>
    <w:rsid w:val="7D0A6A4D"/>
    <w:rsid w:val="7D395FCA"/>
    <w:rsid w:val="7EA11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2026-04-11T13:55:53Z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CAWM06BT796A0V9GRQR80LJ87N80O7VRQE06WJDTXGI8TQLT6IBJDC0IFYRTPB6RAUMXHOZ8ZI7D8INJQFFTDF8C89QMWLCB8JODYHB352ACBAEC7BBD0BBF57597E753BE9EAA9</vt:lpwstr>
  </property>
  <property fmtid="{D5CDD505-2E9C-101B-9397-08002B2CF9AE}" pid="5" name="ICV">
    <vt:lpwstr>D08AAFF2E0BD44C88344E786062F0E6B</vt:lpwstr>
  </property>
</Properties>
</file>