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837" w:lineRule="atLeast"/>
        <w:jc w:val="center"/>
        <w:outlineLvl w:val="1"/>
        <w:rPr>
          <w:rFonts w:cs="宋体" w:asciiTheme="majorEastAsia" w:hAnsiTheme="majorEastAsia" w:eastAsiaTheme="majorEastAsia"/>
          <w:b/>
          <w:bCs/>
          <w:color w:val="004EA2"/>
          <w:kern w:val="0"/>
          <w:sz w:val="27"/>
          <w:szCs w:val="27"/>
        </w:rPr>
      </w:pPr>
      <w:r>
        <w:rPr>
          <w:rFonts w:hint="eastAsia" w:cs="宋体" w:asciiTheme="majorEastAsia" w:hAnsiTheme="majorEastAsia" w:eastAsiaTheme="majorEastAsia"/>
          <w:b/>
          <w:bCs/>
          <w:color w:val="004EA2"/>
          <w:kern w:val="0"/>
          <w:sz w:val="27"/>
          <w:szCs w:val="27"/>
        </w:rPr>
        <w:t>幸福99添益（年年红）1年定开型2512期理财（TYG12M2512）</w:t>
      </w:r>
    </w:p>
    <w:p>
      <w:pPr>
        <w:widowControl/>
        <w:shd w:val="clear" w:color="auto" w:fill="FFFFFF"/>
        <w:spacing w:line="837" w:lineRule="atLeast"/>
        <w:jc w:val="center"/>
        <w:outlineLvl w:val="1"/>
        <w:rPr>
          <w:rFonts w:cs="宋体" w:asciiTheme="majorEastAsia" w:hAnsiTheme="majorEastAsia" w:eastAsiaTheme="majorEastAsia"/>
          <w:b/>
          <w:bCs/>
          <w:color w:val="004EA2"/>
          <w:kern w:val="0"/>
          <w:sz w:val="27"/>
          <w:szCs w:val="27"/>
        </w:rPr>
      </w:pPr>
      <w:r>
        <w:rPr>
          <w:rFonts w:hint="eastAsia" w:cs="宋体" w:asciiTheme="majorEastAsia" w:hAnsiTheme="majorEastAsia" w:eastAsiaTheme="majorEastAsia"/>
          <w:b/>
          <w:bCs/>
          <w:color w:val="004EA2"/>
          <w:kern w:val="0"/>
          <w:sz w:val="27"/>
          <w:szCs w:val="27"/>
        </w:rPr>
        <w:t>业绩比较基准及开放期公告</w:t>
      </w:r>
    </w:p>
    <w:p>
      <w:pPr>
        <w:widowControl/>
        <w:tabs>
          <w:tab w:val="left" w:pos="2930"/>
        </w:tabs>
        <w:jc w:val="left"/>
        <w:rPr>
          <w:rFonts w:ascii="宋体" w:hAnsi="宋体" w:cs="宋体"/>
          <w:color w:val="333333"/>
          <w:kern w:val="0"/>
          <w:sz w:val="24"/>
        </w:rPr>
      </w:pPr>
    </w:p>
    <w:p>
      <w:pPr>
        <w:widowControl/>
        <w:tabs>
          <w:tab w:val="left" w:pos="2930"/>
        </w:tabs>
        <w:jc w:val="left"/>
        <w:rPr>
          <w:rFonts w:ascii="宋体" w:hAnsi="宋体" w:cs="宋体"/>
          <w:color w:val="333333"/>
          <w:kern w:val="0"/>
          <w:sz w:val="24"/>
        </w:rPr>
      </w:pPr>
      <w:r>
        <w:rPr>
          <w:rFonts w:hint="eastAsia" w:ascii="宋体" w:hAnsi="宋体" w:cs="宋体"/>
          <w:color w:val="333333"/>
          <w:kern w:val="0"/>
          <w:sz w:val="24"/>
        </w:rPr>
        <w:t>尊敬的投资者：</w:t>
      </w:r>
    </w:p>
    <w:p>
      <w:pPr>
        <w:widowControl/>
        <w:tabs>
          <w:tab w:val="left" w:pos="2930"/>
        </w:tabs>
        <w:spacing w:before="100" w:beforeAutospacing="1" w:after="100" w:afterAutospacing="1" w:line="360" w:lineRule="auto"/>
        <w:ind w:firstLine="480" w:firstLineChars="200"/>
        <w:jc w:val="left"/>
        <w:rPr>
          <w:rFonts w:ascii="宋体" w:hAnsi="宋体" w:cs="宋体"/>
          <w:color w:val="333333"/>
          <w:kern w:val="0"/>
          <w:sz w:val="24"/>
        </w:rPr>
      </w:pPr>
      <w:r>
        <w:rPr>
          <w:rFonts w:hint="eastAsia" w:ascii="宋体" w:hAnsi="宋体" w:cs="宋体"/>
          <w:color w:val="333333"/>
          <w:kern w:val="0"/>
          <w:sz w:val="24"/>
        </w:rPr>
        <w:t>根据市场情况及产品投资的资产组合收益变动情况，幸福99添益（年年红）1年定开型2512期理财（产品编号：TYG12M2512）下一运行周期（2026-04-29至2027-05-18）的业绩比较基准如下：</w:t>
      </w:r>
    </w:p>
    <w:tbl>
      <w:tblPr>
        <w:tblStyle w:val="8"/>
        <w:tblW w:w="85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6"/>
        <w:gridCol w:w="45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销售代码</w:t>
            </w:r>
          </w:p>
        </w:tc>
        <w:tc>
          <w:tcPr>
            <w:tcW w:w="4580"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业绩比较基准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TYG12M2512A</w:t>
            </w:r>
          </w:p>
        </w:tc>
        <w:tc>
          <w:tcPr>
            <w:tcW w:w="4580"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2.45%-2.65%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TYG12M2512B</w:t>
            </w:r>
          </w:p>
        </w:tc>
        <w:tc>
          <w:tcPr>
            <w:tcW w:w="4580"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2.55%-2.75%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H</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2.45%-2.65%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TYG12M2512L</w:t>
            </w:r>
          </w:p>
        </w:tc>
        <w:tc>
          <w:tcPr>
            <w:tcW w:w="4580"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2.55%-2.75%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ZA</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2.45%-2.65%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ZB</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2.55%-2.75%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ZC</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2.65%-2.85%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ZD</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2.60%-2.80%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93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lang w:val="en-US" w:eastAsia="zh-CN"/>
              </w:rPr>
              <w:t>ZE</w:t>
            </w:r>
          </w:p>
        </w:tc>
        <w:tc>
          <w:tcPr>
            <w:tcW w:w="4580"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w:t>
            </w:r>
            <w:r>
              <w:rPr>
                <w:rFonts w:hint="eastAsia" w:ascii="宋体" w:hAnsi="宋体" w:cs="宋体"/>
                <w:color w:val="333333"/>
                <w:kern w:val="0"/>
                <w:sz w:val="24"/>
                <w:lang w:val="en-US" w:eastAsia="zh-CN"/>
              </w:rPr>
              <w:t>50</w:t>
            </w:r>
            <w:r>
              <w:rPr>
                <w:rFonts w:hint="eastAsia" w:ascii="宋体" w:hAnsi="宋体" w:cs="宋体"/>
                <w:color w:val="333333"/>
                <w:kern w:val="0"/>
                <w:sz w:val="24"/>
              </w:rPr>
              <w:t>%-2.</w:t>
            </w:r>
            <w:r>
              <w:rPr>
                <w:rFonts w:hint="eastAsia" w:ascii="宋体" w:hAnsi="宋体" w:cs="宋体"/>
                <w:color w:val="333333"/>
                <w:kern w:val="0"/>
                <w:sz w:val="24"/>
                <w:lang w:val="en-US" w:eastAsia="zh-CN"/>
              </w:rPr>
              <w:t>70</w:t>
            </w:r>
            <w:r>
              <w:rPr>
                <w:rFonts w:hint="eastAsia" w:ascii="宋体" w:hAnsi="宋体" w:cs="宋体"/>
                <w:color w:val="333333"/>
                <w:kern w:val="0"/>
                <w:sz w:val="24"/>
              </w:rPr>
              <w:t>%</w:t>
            </w:r>
          </w:p>
        </w:tc>
      </w:tr>
    </w:tbl>
    <w:p>
      <w:pPr>
        <w:widowControl/>
        <w:tabs>
          <w:tab w:val="left" w:pos="2930"/>
        </w:tabs>
        <w:spacing w:before="100" w:beforeAutospacing="1" w:after="100" w:afterAutospacing="1" w:line="360" w:lineRule="auto"/>
        <w:ind w:firstLine="482" w:firstLineChars="200"/>
        <w:jc w:val="left"/>
        <w:rPr>
          <w:rFonts w:ascii="宋体" w:hAnsi="宋体" w:cs="宋体"/>
          <w:color w:val="333333"/>
          <w:kern w:val="0"/>
          <w:sz w:val="24"/>
        </w:rPr>
      </w:pPr>
      <w:r>
        <w:rPr>
          <w:rFonts w:hint="eastAsia" w:ascii="宋体" w:hAnsi="宋体" w:cs="宋体"/>
          <w:b/>
          <w:bCs/>
          <w:color w:val="333333"/>
          <w:kern w:val="0"/>
          <w:sz w:val="24"/>
        </w:rPr>
        <w:t>幸福99添益（年年红）1年定开型2512期理财（产品编号：TYG12M2512）本周期</w:t>
      </w:r>
      <w:r>
        <w:rPr>
          <w:rFonts w:hint="eastAsia" w:ascii="宋体" w:hAnsi="宋体" w:cs="宋体"/>
          <w:color w:val="333333"/>
          <w:kern w:val="0"/>
          <w:sz w:val="24"/>
        </w:rPr>
        <w:t>开放期具体安排如下，开放期最后一日及确认日如遇非工作日，则依次顺延至下一个工作日，敬请投资者关注，提前做好投资安排。</w:t>
      </w: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976"/>
        <w:gridCol w:w="170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销售代码</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开放时间安排</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确认日</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交易类型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TYG12M2512A</w:t>
            </w:r>
          </w:p>
        </w:tc>
        <w:tc>
          <w:tcPr>
            <w:tcW w:w="2976"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2026-04-22 9:00至 </w:t>
            </w:r>
            <w:r>
              <w:rPr>
                <w:rFonts w:ascii="宋体" w:hAnsi="宋体" w:eastAsia="宋体" w:cs="宋体"/>
                <w:color w:val="333333"/>
                <w:sz w:val="24"/>
              </w:rPr>
              <w:t>2026-04-28</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2026-04-29</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TYG12M2512B</w:t>
            </w:r>
          </w:p>
        </w:tc>
        <w:tc>
          <w:tcPr>
            <w:tcW w:w="2976"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2026-04-22 9:00至 </w:t>
            </w:r>
            <w:r>
              <w:rPr>
                <w:rFonts w:ascii="宋体" w:hAnsi="宋体" w:eastAsia="宋体" w:cs="宋体"/>
                <w:color w:val="333333"/>
                <w:sz w:val="24"/>
              </w:rPr>
              <w:t>2026-04-28</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2026-04-29</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H</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2026-04-22 9:00至 </w:t>
            </w:r>
            <w:r>
              <w:rPr>
                <w:rFonts w:ascii="宋体" w:hAnsi="宋体" w:eastAsia="宋体" w:cs="宋体"/>
                <w:color w:val="333333"/>
                <w:sz w:val="24"/>
              </w:rPr>
              <w:t>2026-04-28</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2026-04-29</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TYG12M2512L</w:t>
            </w:r>
          </w:p>
        </w:tc>
        <w:tc>
          <w:tcPr>
            <w:tcW w:w="2976"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2026-04-22 9:00至 </w:t>
            </w:r>
            <w:r>
              <w:rPr>
                <w:rFonts w:ascii="宋体" w:hAnsi="宋体" w:eastAsia="宋体" w:cs="宋体"/>
                <w:color w:val="333333"/>
                <w:sz w:val="24"/>
              </w:rPr>
              <w:t>2026-04-28</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2026-04-29</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right"/>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ZA</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2026-04-22 9:00至 </w:t>
            </w:r>
            <w:r>
              <w:rPr>
                <w:rFonts w:ascii="宋体" w:hAnsi="宋体" w:eastAsia="宋体" w:cs="宋体"/>
                <w:color w:val="333333"/>
                <w:sz w:val="24"/>
              </w:rPr>
              <w:t>2026-04-28</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2026-04-29</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right"/>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ZB</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2026-04-22 9:00至 </w:t>
            </w:r>
            <w:r>
              <w:rPr>
                <w:rFonts w:ascii="宋体" w:hAnsi="宋体" w:eastAsia="宋体" w:cs="宋体"/>
                <w:color w:val="333333"/>
                <w:sz w:val="24"/>
              </w:rPr>
              <w:t>2026-04-28</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2026-04-29</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right"/>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ZC</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2026-04-22 9:00至 </w:t>
            </w:r>
            <w:r>
              <w:rPr>
                <w:rFonts w:ascii="宋体" w:hAnsi="宋体" w:eastAsia="宋体" w:cs="宋体"/>
                <w:color w:val="333333"/>
                <w:sz w:val="24"/>
              </w:rPr>
              <w:t>2026-04-28</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2026-04-29</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right"/>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ZD</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2026-04-22 9:00至 </w:t>
            </w:r>
            <w:r>
              <w:rPr>
                <w:rFonts w:ascii="宋体" w:hAnsi="宋体" w:eastAsia="宋体" w:cs="宋体"/>
                <w:color w:val="333333"/>
                <w:sz w:val="24"/>
              </w:rPr>
              <w:t>2026-04-28</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2026-04-29</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right"/>
              <w:rPr>
                <w:rFonts w:hint="default" w:ascii="宋体" w:hAnsi="宋体" w:cs="宋体" w:eastAsiaTheme="minorEastAsia"/>
                <w:color w:val="333333"/>
                <w:kern w:val="0"/>
                <w:sz w:val="24"/>
                <w:lang w:val="en-US" w:eastAsia="zh-CN"/>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lang w:val="en-US" w:eastAsia="zh-CN"/>
              </w:rPr>
              <w:t>ZE</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2026-04-22 9:00至 </w:t>
            </w:r>
            <w:r>
              <w:rPr>
                <w:rFonts w:ascii="宋体" w:hAnsi="宋体" w:eastAsia="宋体" w:cs="宋体"/>
                <w:color w:val="333333"/>
                <w:sz w:val="24"/>
              </w:rPr>
              <w:t>2026-04-28</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2026-04-29</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bl>
    <w:p>
      <w:pPr>
        <w:widowControl/>
        <w:tabs>
          <w:tab w:val="left" w:pos="2930"/>
        </w:tabs>
        <w:spacing w:before="100" w:beforeAutospacing="1" w:after="100" w:afterAutospacing="1" w:line="360" w:lineRule="auto"/>
        <w:ind w:firstLine="482" w:firstLineChars="200"/>
        <w:jc w:val="left"/>
        <w:rPr>
          <w:rFonts w:ascii="宋体" w:hAnsi="宋体" w:cs="宋体"/>
          <w:color w:val="333333"/>
          <w:kern w:val="0"/>
          <w:sz w:val="24"/>
        </w:rPr>
      </w:pPr>
      <w:r>
        <w:rPr>
          <w:rFonts w:hint="eastAsia" w:ascii="宋体" w:hAnsi="宋体" w:cs="宋体"/>
          <w:b/>
          <w:bCs/>
          <w:color w:val="333333"/>
          <w:kern w:val="0"/>
          <w:sz w:val="24"/>
        </w:rPr>
        <w:t>幸福99添益（年年红）1年定开型2512期理财（产品编号：TYG12M2512）下周期</w:t>
      </w:r>
      <w:r>
        <w:rPr>
          <w:rFonts w:hint="eastAsia" w:ascii="宋体" w:hAnsi="宋体" w:cs="宋体"/>
          <w:color w:val="333333"/>
          <w:kern w:val="0"/>
          <w:sz w:val="24"/>
        </w:rPr>
        <w:t>开放期具体安排如下，开放期最后一日及确认日如遇非工作日，则依次顺延至下一个工作日，敬请投资者关注，提前做好投资安排。</w:t>
      </w:r>
    </w:p>
    <w:tbl>
      <w:tblPr>
        <w:tblStyle w:val="8"/>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976"/>
        <w:gridCol w:w="1701"/>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销售代码</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开放时间安排</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确认日</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交易类型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TYG12M2512A</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2027-05-12 9:00至 </w:t>
            </w:r>
            <w:r>
              <w:rPr>
                <w:rFonts w:ascii="宋体" w:hAnsi="宋体" w:eastAsia="宋体" w:cs="宋体"/>
                <w:color w:val="333333"/>
                <w:sz w:val="24"/>
              </w:rPr>
              <w:t>2027-05-18</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2027-05-19</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TYG12M2512B</w:t>
            </w:r>
          </w:p>
        </w:tc>
        <w:tc>
          <w:tcPr>
            <w:tcW w:w="2976"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2027-05-12 9:00至 </w:t>
            </w:r>
            <w:r>
              <w:rPr>
                <w:rFonts w:ascii="宋体" w:hAnsi="宋体" w:eastAsia="宋体" w:cs="宋体"/>
                <w:color w:val="333333"/>
                <w:sz w:val="24"/>
              </w:rPr>
              <w:t>2027-05-18</w:t>
            </w:r>
            <w:r>
              <w:rPr>
                <w:rFonts w:hint="eastAsia" w:ascii="宋体" w:hAnsi="宋体" w:cs="宋体"/>
                <w:color w:val="333333"/>
                <w:kern w:val="0"/>
                <w:sz w:val="24"/>
              </w:rPr>
              <w:t xml:space="preserve"> 17:00</w:t>
            </w:r>
          </w:p>
        </w:tc>
        <w:tc>
          <w:tcPr>
            <w:tcW w:w="1701"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2027-05-19</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bookmarkStart w:id="0" w:name="_GoBack" w:colFirst="2" w:colLast="2"/>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H</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2027-05-12 9:00至 </w:t>
            </w:r>
            <w:r>
              <w:rPr>
                <w:rFonts w:ascii="宋体" w:hAnsi="宋体" w:eastAsia="宋体" w:cs="宋体"/>
                <w:color w:val="333333"/>
                <w:sz w:val="24"/>
              </w:rPr>
              <w:t>2027-05-18</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2027-05-19</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TYG12M2512L</w:t>
            </w:r>
          </w:p>
        </w:tc>
        <w:tc>
          <w:tcPr>
            <w:tcW w:w="2976"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 xml:space="preserve">2027-05-12 9:00至 </w:t>
            </w:r>
            <w:r>
              <w:rPr>
                <w:rFonts w:ascii="宋体" w:hAnsi="宋体" w:eastAsia="宋体" w:cs="宋体"/>
                <w:color w:val="333333"/>
                <w:sz w:val="24"/>
              </w:rPr>
              <w:t>2027-05-18</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2027-05-19</w:t>
            </w:r>
          </w:p>
        </w:tc>
        <w:tc>
          <w:tcPr>
            <w:tcW w:w="2127" w:type="dxa"/>
          </w:tcPr>
          <w:p>
            <w:pPr>
              <w:widowControl/>
              <w:tabs>
                <w:tab w:val="left" w:pos="2930"/>
              </w:tabs>
              <w:spacing w:before="100" w:beforeAutospacing="1" w:after="100" w:afterAutospacing="1" w:line="360" w:lineRule="auto"/>
              <w:jc w:val="center"/>
              <w:rPr>
                <w:rFonts w:ascii="宋体" w:hAnsi="宋体" w:cs="宋体"/>
                <w:color w:val="333333"/>
                <w:kern w:val="0"/>
                <w:sz w:val="24"/>
              </w:rPr>
            </w:pPr>
            <w:r>
              <w:rPr>
                <w:rFonts w:hint="eastAsia" w:ascii="宋体" w:hAnsi="宋体" w:cs="宋体"/>
                <w:color w:val="333333"/>
                <w:kern w:val="0"/>
                <w:sz w:val="24"/>
              </w:rPr>
              <w:t>可申购、可赎回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ZA</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2027-05-12 9:00至 </w:t>
            </w:r>
            <w:r>
              <w:rPr>
                <w:rFonts w:ascii="宋体" w:hAnsi="宋体" w:eastAsia="宋体" w:cs="宋体"/>
                <w:color w:val="333333"/>
                <w:sz w:val="24"/>
              </w:rPr>
              <w:t>2027-05-18</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2027-05-19</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ZB</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2027-05-12 9:00至 </w:t>
            </w:r>
            <w:r>
              <w:rPr>
                <w:rFonts w:ascii="宋体" w:hAnsi="宋体" w:eastAsia="宋体" w:cs="宋体"/>
                <w:color w:val="333333"/>
                <w:sz w:val="24"/>
              </w:rPr>
              <w:t>2027-05-18</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2027-05-19</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ZC</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2027-05-12 9:00至 </w:t>
            </w:r>
            <w:r>
              <w:rPr>
                <w:rFonts w:ascii="宋体" w:hAnsi="宋体" w:eastAsia="宋体" w:cs="宋体"/>
                <w:color w:val="333333"/>
                <w:sz w:val="24"/>
              </w:rPr>
              <w:t>2027-05-18</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2027-05-19</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ZD</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2027-05-12 9:00至 </w:t>
            </w:r>
            <w:r>
              <w:rPr>
                <w:rFonts w:ascii="宋体" w:hAnsi="宋体" w:eastAsia="宋体" w:cs="宋体"/>
                <w:color w:val="333333"/>
                <w:sz w:val="24"/>
              </w:rPr>
              <w:t>2027-05-18</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2027-05-19</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3" w:hRule="atLeast"/>
        </w:trPr>
        <w:tc>
          <w:tcPr>
            <w:tcW w:w="1668" w:type="dxa"/>
            <w:vAlign w:val="top"/>
          </w:tcPr>
          <w:p>
            <w:pPr>
              <w:widowControl/>
              <w:tabs>
                <w:tab w:val="left" w:pos="2930"/>
              </w:tabs>
              <w:spacing w:before="100" w:beforeAutospacing="1" w:after="100" w:afterAutospacing="1" w:line="360" w:lineRule="auto"/>
              <w:jc w:val="center"/>
              <w:rPr>
                <w:rFonts w:hint="eastAsia" w:ascii="宋体" w:hAnsi="宋体" w:cs="宋体" w:eastAsiaTheme="minorEastAsia"/>
                <w:color w:val="333333"/>
                <w:kern w:val="0"/>
                <w:sz w:val="24"/>
                <w:lang w:val="en-US" w:eastAsia="zh-CN"/>
              </w:rPr>
            </w:pPr>
            <w:r>
              <w:rPr>
                <w:rFonts w:hint="eastAsia" w:ascii="宋体" w:hAnsi="宋体" w:cs="宋体"/>
                <w:color w:val="333333"/>
                <w:kern w:val="0"/>
                <w:sz w:val="24"/>
              </w:rPr>
              <w:t>TYG12M</w:t>
            </w:r>
            <w:r>
              <w:rPr>
                <w:rFonts w:hint="eastAsia" w:ascii="宋体" w:hAnsi="宋体" w:cs="宋体"/>
                <w:color w:val="333333"/>
                <w:kern w:val="0"/>
                <w:sz w:val="24"/>
                <w:lang w:eastAsia="zh-CN"/>
              </w:rPr>
              <w:t>2512</w:t>
            </w:r>
            <w:r>
              <w:rPr>
                <w:rFonts w:hint="eastAsia" w:ascii="宋体" w:hAnsi="宋体" w:cs="宋体"/>
                <w:color w:val="333333"/>
                <w:kern w:val="0"/>
                <w:sz w:val="24"/>
              </w:rPr>
              <w:t>Z</w:t>
            </w:r>
            <w:r>
              <w:rPr>
                <w:rFonts w:hint="eastAsia" w:ascii="宋体" w:hAnsi="宋体" w:cs="宋体"/>
                <w:color w:val="333333"/>
                <w:kern w:val="0"/>
                <w:sz w:val="24"/>
                <w:lang w:val="en-US" w:eastAsia="zh-CN"/>
              </w:rPr>
              <w:t>E</w:t>
            </w:r>
          </w:p>
        </w:tc>
        <w:tc>
          <w:tcPr>
            <w:tcW w:w="2976"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 xml:space="preserve">2027-05-12 9:00至 </w:t>
            </w:r>
            <w:r>
              <w:rPr>
                <w:rFonts w:ascii="宋体" w:hAnsi="宋体" w:eastAsia="宋体" w:cs="宋体"/>
                <w:color w:val="333333"/>
                <w:sz w:val="24"/>
              </w:rPr>
              <w:t>2027-05-18</w:t>
            </w:r>
            <w:r>
              <w:rPr>
                <w:rFonts w:hint="eastAsia" w:ascii="宋体" w:hAnsi="宋体" w:cs="宋体"/>
                <w:color w:val="333333"/>
                <w:kern w:val="0"/>
                <w:sz w:val="24"/>
              </w:rPr>
              <w:t xml:space="preserve"> 17:00</w:t>
            </w:r>
          </w:p>
        </w:tc>
        <w:tc>
          <w:tcPr>
            <w:tcW w:w="1701"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2027-05-19</w:t>
            </w:r>
          </w:p>
        </w:tc>
        <w:tc>
          <w:tcPr>
            <w:tcW w:w="2127" w:type="dxa"/>
            <w:vAlign w:val="top"/>
          </w:tcPr>
          <w:p>
            <w:pPr>
              <w:widowControl/>
              <w:tabs>
                <w:tab w:val="left" w:pos="2930"/>
              </w:tabs>
              <w:spacing w:before="100" w:beforeAutospacing="1" w:after="100" w:afterAutospacing="1" w:line="360" w:lineRule="auto"/>
              <w:jc w:val="center"/>
              <w:rPr>
                <w:rFonts w:hint="eastAsia" w:ascii="宋体" w:hAnsi="宋体" w:cs="宋体"/>
                <w:color w:val="333333"/>
                <w:kern w:val="0"/>
                <w:sz w:val="24"/>
              </w:rPr>
            </w:pPr>
            <w:r>
              <w:rPr>
                <w:rFonts w:hint="eastAsia" w:ascii="宋体" w:hAnsi="宋体" w:cs="宋体"/>
                <w:color w:val="333333"/>
                <w:kern w:val="0"/>
                <w:sz w:val="24"/>
              </w:rPr>
              <w:t>可申购、自动赎回</w:t>
            </w:r>
          </w:p>
        </w:tc>
      </w:tr>
      <w:bookmarkEnd w:id="0"/>
    </w:tbl>
    <w:p>
      <w:pPr>
        <w:widowControl/>
        <w:tabs>
          <w:tab w:val="left" w:pos="2930"/>
        </w:tabs>
        <w:spacing w:before="100" w:beforeAutospacing="1" w:after="100" w:afterAutospacing="1" w:line="360" w:lineRule="auto"/>
        <w:ind w:firstLine="480" w:firstLineChars="200"/>
        <w:jc w:val="left"/>
        <w:rPr>
          <w:rFonts w:ascii="宋体" w:hAnsi="宋体" w:cs="宋体"/>
          <w:kern w:val="0"/>
          <w:szCs w:val="21"/>
        </w:rPr>
      </w:pPr>
      <w:r>
        <w:rPr>
          <w:rFonts w:hint="eastAsia" w:ascii="宋体" w:hAnsi="宋体" w:cs="宋体"/>
          <w:b w:val="0"/>
          <w:bCs w:val="0"/>
          <w:color w:val="333333"/>
          <w:kern w:val="0"/>
          <w:sz w:val="24"/>
          <w:lang w:val="en-US" w:eastAsia="zh-CN"/>
        </w:rPr>
        <w:t>固定管理费原则上按日计提，若本理财计划份额每个周期结束日的折合年化收益率不达当期该份额业绩比较基准下限，则管理人以当期全部固定管理费为上限，减免全部或部分固定管理费用。如您不接受本次公告上述调整，请于生效日前及时赎回所持有的全部产品份额，逾期未赎回或仅部分赎回的，则视作您接受公告所示调整。后续若有调整，请以最新公告为准。</w:t>
      </w:r>
    </w:p>
    <w:p>
      <w:pPr>
        <w:widowControl/>
        <w:spacing w:line="360" w:lineRule="auto"/>
        <w:jc w:val="left"/>
        <w:rPr>
          <w:rFonts w:ascii="宋体" w:hAnsi="宋体" w:cs="宋体"/>
          <w:kern w:val="0"/>
          <w:szCs w:val="21"/>
        </w:rPr>
      </w:pPr>
      <w:r>
        <w:rPr>
          <w:rFonts w:hint="eastAsia" w:ascii="宋体" w:hAnsi="宋体" w:cs="宋体"/>
          <w:kern w:val="0"/>
          <w:szCs w:val="21"/>
        </w:rPr>
        <w:t>注：</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本理财计划业绩比较基准由管理人根据投资范围及投资策略，结合市场环境因素进行测算而得出。业绩比较基准是管理人基于理财计划收益风险特征、投资策略、过往经验等因素对理财计划业绩设定的投资目标，不代表理财计划的未来表现和实际收益，也不构成对理财计划收益的承诺。</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如法定节假日调整，管理人将对公告中的日期做出相应调整，以管理人最新公告为准。</w:t>
      </w:r>
    </w:p>
    <w:p>
      <w:pPr>
        <w:widowControl/>
        <w:numPr>
          <w:ilvl w:val="0"/>
          <w:numId w:val="1"/>
        </w:numPr>
        <w:spacing w:line="360" w:lineRule="auto"/>
        <w:jc w:val="left"/>
        <w:rPr>
          <w:rFonts w:ascii="宋体" w:hAnsi="宋体" w:cs="宋体"/>
          <w:kern w:val="0"/>
          <w:szCs w:val="21"/>
        </w:rPr>
      </w:pPr>
      <w:r>
        <w:rPr>
          <w:rFonts w:hint="eastAsia" w:ascii="宋体" w:hAnsi="宋体" w:cs="宋体"/>
          <w:kern w:val="0"/>
          <w:szCs w:val="21"/>
        </w:rPr>
        <w:t>开放时间具体安排以销售机构规定为准。</w:t>
      </w:r>
    </w:p>
    <w:p>
      <w:pPr>
        <w:widowControl/>
        <w:jc w:val="right"/>
        <w:rPr>
          <w:rFonts w:ascii="微软雅黑" w:hAnsi="微软雅黑" w:cs="宋体"/>
          <w:color w:val="333333"/>
          <w:kern w:val="0"/>
          <w:sz w:val="24"/>
        </w:rPr>
      </w:pPr>
      <w:r>
        <w:rPr>
          <w:rFonts w:hint="eastAsia" w:ascii="微软雅黑" w:hAnsi="微软雅黑" w:cs="宋体"/>
          <w:color w:val="333333"/>
          <w:kern w:val="0"/>
          <w:sz w:val="24"/>
        </w:rPr>
        <w:t>                         杭银理财有限责任公司</w:t>
      </w:r>
    </w:p>
    <w:p>
      <w:pPr>
        <w:widowControl/>
        <w:jc w:val="right"/>
      </w:pPr>
      <w:r>
        <w:rPr>
          <w:rFonts w:hint="eastAsia" w:ascii="宋体" w:hAnsi="宋体" w:cs="宋体"/>
          <w:color w:val="333333"/>
          <w:kern w:val="0"/>
          <w:sz w:val="24"/>
        </w:rPr>
        <w:t>                         </w:t>
      </w:r>
      <w:r>
        <w:rPr>
          <w:rFonts w:ascii="宋体" w:hAnsi="宋体" w:eastAsia="宋体" w:cs="宋体"/>
          <w:color w:val="333333"/>
          <w:sz w:val="24"/>
        </w:rPr>
        <w:t>2026年4月</w:t>
      </w:r>
      <w:r>
        <w:rPr>
          <w:rFonts w:hint="eastAsia" w:ascii="宋体" w:hAnsi="宋体" w:eastAsia="宋体" w:cs="宋体"/>
          <w:color w:val="333333"/>
          <w:sz w:val="24"/>
          <w:lang w:val="en-US" w:eastAsia="zh-CN"/>
        </w:rPr>
        <w:t>14</w:t>
      </w:r>
      <w:r>
        <w:rPr>
          <w:rFonts w:ascii="宋体" w:hAnsi="宋体" w:eastAsia="宋体" w:cs="宋体"/>
          <w:color w:val="333333"/>
          <w:sz w:val="24"/>
        </w:rPr>
        <w:t>日</w:t>
      </w:r>
    </w:p>
    <w:p>
      <w:pPr>
        <w:widowControl/>
        <w:jc w:val="right"/>
      </w:pPr>
    </w:p>
    <w:sectPr>
      <w:headerReference r:id="rId3" w:type="default"/>
      <w:pgSz w:w="11906" w:h="16838"/>
      <w:pgMar w:top="2551" w:right="1803" w:bottom="2551" w:left="1803" w:header="851" w:footer="992" w:gutter="0"/>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drawing>
        <wp:anchor distT="0" distB="0" distL="114300" distR="114300" simplePos="0" relativeHeight="251658240" behindDoc="1" locked="0" layoutInCell="1" allowOverlap="1">
          <wp:simplePos x="0" y="0"/>
          <wp:positionH relativeFrom="margin">
            <wp:align>center</wp:align>
          </wp:positionH>
          <wp:positionV relativeFrom="margin">
            <wp:align>center</wp:align>
          </wp:positionV>
          <wp:extent cx="7543800" cy="10671810"/>
          <wp:effectExtent l="0" t="0" r="0" b="15240"/>
          <wp:wrapNone/>
          <wp:docPr id="5" name="WordPictureWatermark140627" descr="微信图片_20220817144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WordPictureWatermark140627" descr="微信图片_20220817144322"/>
                  <pic:cNvPicPr>
                    <a:picLocks noChangeAspect="1"/>
                  </pic:cNvPicPr>
                </pic:nvPicPr>
                <pic:blipFill>
                  <a:blip r:embed="rId1"/>
                  <a:stretch>
                    <a:fillRect/>
                  </a:stretch>
                </pic:blipFill>
                <pic:spPr>
                  <a:xfrm>
                    <a:off x="0" y="0"/>
                    <a:ext cx="7543800" cy="1067181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03C63B"/>
    <w:multiLevelType w:val="singleLevel"/>
    <w:tmpl w:val="4903C63B"/>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documentProtection w:enforcement="0"/>
  <w:defaultTabStop w:val="420"/>
  <w:drawingGridVerticalSpacing w:val="159"/>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ZlY2ZiYmExOWJmOTY5NWFmNzQwOWFhNmE0ZjgxMTMifQ=="/>
  </w:docVars>
  <w:rsids>
    <w:rsidRoot w:val="6687052B"/>
    <w:rsid w:val="00040F12"/>
    <w:rsid w:val="0007073F"/>
    <w:rsid w:val="00076F95"/>
    <w:rsid w:val="000B5C80"/>
    <w:rsid w:val="00123A32"/>
    <w:rsid w:val="00182547"/>
    <w:rsid w:val="001E34DE"/>
    <w:rsid w:val="00216866"/>
    <w:rsid w:val="00251162"/>
    <w:rsid w:val="00261F9F"/>
    <w:rsid w:val="002979BD"/>
    <w:rsid w:val="003321DA"/>
    <w:rsid w:val="00366909"/>
    <w:rsid w:val="00374B44"/>
    <w:rsid w:val="00386722"/>
    <w:rsid w:val="003B478B"/>
    <w:rsid w:val="003B5EA1"/>
    <w:rsid w:val="00573F61"/>
    <w:rsid w:val="00632F14"/>
    <w:rsid w:val="006A11F6"/>
    <w:rsid w:val="006F1E86"/>
    <w:rsid w:val="00792C6B"/>
    <w:rsid w:val="00800AAF"/>
    <w:rsid w:val="008E2414"/>
    <w:rsid w:val="00941ACB"/>
    <w:rsid w:val="00970427"/>
    <w:rsid w:val="009C52F4"/>
    <w:rsid w:val="00A4089E"/>
    <w:rsid w:val="00B00500"/>
    <w:rsid w:val="00B0716D"/>
    <w:rsid w:val="00BB6E73"/>
    <w:rsid w:val="00C822CD"/>
    <w:rsid w:val="00D00D6A"/>
    <w:rsid w:val="00D01161"/>
    <w:rsid w:val="00DB32F4"/>
    <w:rsid w:val="00DD583F"/>
    <w:rsid w:val="00F25FAF"/>
    <w:rsid w:val="00F43942"/>
    <w:rsid w:val="01632288"/>
    <w:rsid w:val="023B73FD"/>
    <w:rsid w:val="035E6A6E"/>
    <w:rsid w:val="04EF499C"/>
    <w:rsid w:val="06090E49"/>
    <w:rsid w:val="086F3434"/>
    <w:rsid w:val="09D5040F"/>
    <w:rsid w:val="0AA12391"/>
    <w:rsid w:val="0C760411"/>
    <w:rsid w:val="0FAD1E3A"/>
    <w:rsid w:val="0FE05E22"/>
    <w:rsid w:val="0FFB2C2E"/>
    <w:rsid w:val="14064585"/>
    <w:rsid w:val="144D2883"/>
    <w:rsid w:val="161D7C87"/>
    <w:rsid w:val="169966B8"/>
    <w:rsid w:val="1774510A"/>
    <w:rsid w:val="192E28D5"/>
    <w:rsid w:val="1B395CAB"/>
    <w:rsid w:val="1DE30B4B"/>
    <w:rsid w:val="1E9A3ACF"/>
    <w:rsid w:val="1EF87BD2"/>
    <w:rsid w:val="1FB466A7"/>
    <w:rsid w:val="1FCB4E7D"/>
    <w:rsid w:val="212E6400"/>
    <w:rsid w:val="216138F2"/>
    <w:rsid w:val="21F964F5"/>
    <w:rsid w:val="22291B40"/>
    <w:rsid w:val="22680F97"/>
    <w:rsid w:val="227F642E"/>
    <w:rsid w:val="23E23118"/>
    <w:rsid w:val="252937ED"/>
    <w:rsid w:val="26CE5261"/>
    <w:rsid w:val="26F22D0A"/>
    <w:rsid w:val="28362D7D"/>
    <w:rsid w:val="29A34A1D"/>
    <w:rsid w:val="2B2B5DF9"/>
    <w:rsid w:val="2B991B88"/>
    <w:rsid w:val="2EDF0E96"/>
    <w:rsid w:val="2F1871F2"/>
    <w:rsid w:val="2F294853"/>
    <w:rsid w:val="2FC14D08"/>
    <w:rsid w:val="30E359F4"/>
    <w:rsid w:val="32C46370"/>
    <w:rsid w:val="35286DA6"/>
    <w:rsid w:val="38921940"/>
    <w:rsid w:val="3D4A7245"/>
    <w:rsid w:val="3E692474"/>
    <w:rsid w:val="3E834198"/>
    <w:rsid w:val="3F4D0D7F"/>
    <w:rsid w:val="41F371BC"/>
    <w:rsid w:val="4273183E"/>
    <w:rsid w:val="443507A3"/>
    <w:rsid w:val="446E5366"/>
    <w:rsid w:val="456D2AD8"/>
    <w:rsid w:val="467D220C"/>
    <w:rsid w:val="468E71F3"/>
    <w:rsid w:val="472C02DC"/>
    <w:rsid w:val="4A4D08B6"/>
    <w:rsid w:val="4BB54F8B"/>
    <w:rsid w:val="4FFF3606"/>
    <w:rsid w:val="50270C90"/>
    <w:rsid w:val="50356190"/>
    <w:rsid w:val="50A20A38"/>
    <w:rsid w:val="51475EBB"/>
    <w:rsid w:val="54D44304"/>
    <w:rsid w:val="55072DFB"/>
    <w:rsid w:val="55167E68"/>
    <w:rsid w:val="557F18F4"/>
    <w:rsid w:val="55E447C3"/>
    <w:rsid w:val="57251378"/>
    <w:rsid w:val="57D7577C"/>
    <w:rsid w:val="57F43A1C"/>
    <w:rsid w:val="5B2F104F"/>
    <w:rsid w:val="5BFE1262"/>
    <w:rsid w:val="5E085CFB"/>
    <w:rsid w:val="5EC66559"/>
    <w:rsid w:val="60C55E6C"/>
    <w:rsid w:val="62576867"/>
    <w:rsid w:val="636D2DE7"/>
    <w:rsid w:val="6404319E"/>
    <w:rsid w:val="64381403"/>
    <w:rsid w:val="65D24C58"/>
    <w:rsid w:val="6687052B"/>
    <w:rsid w:val="67EC6F4F"/>
    <w:rsid w:val="680375CC"/>
    <w:rsid w:val="68F17FDC"/>
    <w:rsid w:val="6A8B3349"/>
    <w:rsid w:val="6A9B6989"/>
    <w:rsid w:val="6DD2217A"/>
    <w:rsid w:val="6E683E61"/>
    <w:rsid w:val="6FAE51B6"/>
    <w:rsid w:val="701E6454"/>
    <w:rsid w:val="7107423D"/>
    <w:rsid w:val="74790878"/>
    <w:rsid w:val="76654E07"/>
    <w:rsid w:val="76E67429"/>
    <w:rsid w:val="78FB4CF4"/>
    <w:rsid w:val="79E32EAD"/>
    <w:rsid w:val="7B4A3932"/>
    <w:rsid w:val="7C90559F"/>
    <w:rsid w:val="7D875343"/>
    <w:rsid w:val="7EF7C949"/>
    <w:rsid w:val="E54F38A2"/>
    <w:rsid w:val="FFAFB8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line="400" w:lineRule="exact"/>
      <w:jc w:val="center"/>
      <w:outlineLvl w:val="0"/>
    </w:pPr>
    <w:rPr>
      <w:rFonts w:ascii="Times New Roman" w:hAnsi="Times New Roman" w:eastAsia="宋体"/>
      <w:b/>
      <w:kern w:val="44"/>
      <w:sz w:val="24"/>
    </w:rPr>
  </w:style>
  <w:style w:type="paragraph" w:styleId="3">
    <w:name w:val="heading 2"/>
    <w:basedOn w:val="1"/>
    <w:next w:val="1"/>
    <w:unhideWhenUsed/>
    <w:qFormat/>
    <w:uiPriority w:val="0"/>
    <w:pPr>
      <w:keepNext/>
      <w:keepLines/>
      <w:spacing w:line="400" w:lineRule="exact"/>
      <w:jc w:val="left"/>
      <w:outlineLvl w:val="1"/>
    </w:pPr>
    <w:rPr>
      <w:rFonts w:ascii="Arial" w:hAnsi="Arial" w:eastAsia="宋体"/>
      <w:b/>
    </w:rPr>
  </w:style>
  <w:style w:type="paragraph" w:styleId="4">
    <w:name w:val="heading 3"/>
    <w:basedOn w:val="1"/>
    <w:next w:val="1"/>
    <w:unhideWhenUsed/>
    <w:qFormat/>
    <w:uiPriority w:val="0"/>
    <w:pPr>
      <w:keepNext/>
      <w:keepLines/>
      <w:spacing w:line="400" w:lineRule="exact"/>
      <w:jc w:val="left"/>
      <w:outlineLvl w:val="2"/>
    </w:pPr>
    <w:rPr>
      <w:rFonts w:ascii="Times New Roman" w:hAnsi="Times New Roman" w:eastAsia="宋体"/>
      <w:b/>
    </w:rPr>
  </w:style>
  <w:style w:type="character" w:default="1" w:styleId="9">
    <w:name w:val="Default Paragraph Font"/>
    <w:semiHidden/>
    <w:unhideWhenUsed/>
    <w:uiPriority w:val="1"/>
  </w:style>
  <w:style w:type="table" w:default="1" w:styleId="7">
    <w:name w:val="Normal Table"/>
    <w:semiHidden/>
    <w:unhideWhenUsed/>
    <w:uiPriority w:val="99"/>
    <w:tblPr>
      <w:tblLayout w:type="fixed"/>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481</Words>
  <Characters>520</Characters>
  <Lines>4</Lines>
  <Paragraphs>1</Paragraphs>
  <TotalTime>0</TotalTime>
  <ScaleCrop>false</ScaleCrop>
  <LinksUpToDate>false</LinksUpToDate>
  <CharactersWithSpaces>1000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2022-08-17T22:47:00Z</dcterms:created>
  <dc:creator>Administrator</dc:creator>
  <cp:lastModifiedBy>孙逸菲</cp:lastModifiedBy>
  <dcterms:modified xsi:type="dcterms:W3CDTF">2026-04-14T01:05:15Z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156FBEF45315492997A928A82EDAEB25</vt:lpwstr>
  </property>
  <property fmtid="{D5CDD505-2E9C-101B-9397-08002B2CF9AE}" pid="3" name="KSOProductBuildVer">
    <vt:lpwstr>2052-11.8.2.8411</vt:lpwstr>
  </property>
</Properties>
</file>