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 w:before="100" w:beforeAutospacing="1" w:line="360" w:lineRule="auto"/>
        <w:jc w:val="center"/>
        <w:outlineLvl w:val="0"/>
        <w:rPr>
          <w:rFonts w:ascii="华文中宋" w:cs="华文中宋" w:eastAsia="华文中宋" w:hAnsi="华文中宋"/>
          <w:b/>
          <w:bCs/>
          <w:kern w:val="0"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kern w:val="0"/>
          <w:sz w:val="36"/>
          <w:szCs w:val="36"/>
          <w:lang w:eastAsia="zh-CN"/>
        </w:rPr>
        <w:t>杭银理财幸福99零钱包开放式理财计划D款</w:t>
      </w:r>
      <w:r>
        <w:rPr>
          <w:rFonts w:ascii="黑体" w:cs="黑体" w:eastAsia="黑体" w:hAnsi="黑体" w:hint="eastAsia"/>
          <w:b/>
          <w:bCs/>
          <w:kern w:val="0"/>
          <w:sz w:val="36"/>
          <w:szCs w:val="36"/>
          <w:lang w:eastAsia="zh-CN" w:val="en-US"/>
        </w:rPr>
        <w:t>产品</w:t>
      </w:r>
      <w:r>
        <w:rPr>
          <w:rFonts w:ascii="黑体" w:cs="黑体" w:eastAsia="黑体" w:hAnsi="黑体" w:hint="eastAsia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after="100" w:afterAutospacing="1" w:before="100" w:beforeAutospacing="1" w:line="360" w:lineRule="auto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after="100" w:afterAutospacing="1" w:before="100" w:beforeAutospacing="1" w:line="360" w:lineRule="auto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为满足投资者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的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理财需求，更好地为投资者提供服务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，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杭银理财拟对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杭银理财幸福99零钱包开放式理财计划D款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的产品费用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type="dxa" w:w="8883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97"/>
        </w:trPr>
        <w:tc>
          <w:tcPr>
            <w:tcW w:type="dxa" w:w="1720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销售代码</w:t>
            </w:r>
          </w:p>
        </w:tc>
        <w:tc>
          <w:tcPr>
            <w:tcW w:type="dxa" w:w="1445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费用类型</w:t>
            </w:r>
          </w:p>
        </w:tc>
        <w:tc>
          <w:tcPr>
            <w:tcW w:type="dxa" w:w="137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说明书约定的费率</w:t>
            </w:r>
          </w:p>
        </w:tc>
        <w:tc>
          <w:tcPr>
            <w:tcW w:type="dxa" w:w="138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调整后的费率</w:t>
            </w:r>
          </w:p>
        </w:tc>
        <w:tc>
          <w:tcPr>
            <w:tcW w:type="dxa" w:w="144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  <w:lang w:eastAsia="zh-CN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生效日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color w:val="333333"/>
                <w:lang w:eastAsia="zh-CN" w:val="en-US"/>
              </w:rPr>
              <w:t>含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）</w:t>
            </w:r>
          </w:p>
        </w:tc>
        <w:tc>
          <w:tcPr>
            <w:tcW w:type="dxa" w:w="151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  <w:lang w:eastAsia="zh-CN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结束日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color w:val="333333"/>
                <w:lang w:eastAsia="zh-CN" w:val="en-US"/>
              </w:rPr>
              <w:t>含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97"/>
        </w:trPr>
        <w:tc>
          <w:tcPr>
            <w:tcW w:type="dxa" w:w="1720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LQB2001D</w:t>
            </w:r>
          </w:p>
        </w:tc>
        <w:tc>
          <w:tcPr>
            <w:tcW w:type="dxa" w:w="1445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固定管理费</w:t>
            </w:r>
          </w:p>
        </w:tc>
        <w:tc>
          <w:tcPr>
            <w:tcW w:type="dxa" w:w="137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0.40%</w:t>
            </w:r>
          </w:p>
        </w:tc>
        <w:tc>
          <w:tcPr>
            <w:tcW w:type="dxa" w:w="138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0.25%</w:t>
            </w:r>
          </w:p>
        </w:tc>
        <w:tc>
          <w:tcPr>
            <w:tcW w:type="dxa" w:w="144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2026-04-13</w:t>
            </w:r>
          </w:p>
        </w:tc>
        <w:tc>
          <w:tcPr>
            <w:tcW w:type="dxa" w:w="151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2026-05-15</w:t>
            </w:r>
          </w:p>
        </w:tc>
      </w:tr>
    </w:tbl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</w:p>
    <w:p>
      <w:pPr>
        <w:widowControl/>
        <w:spacing w:after="100" w:afterAutospacing="1" w:before="100" w:beforeAutospacing="1"/>
        <w:ind w:firstLine="560" w:firstLineChars="200"/>
        <w:jc w:val="righ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after="100" w:afterAutospacing="1" w:before="100" w:beforeAutospacing="1"/>
        <w:ind w:firstLine="560" w:firstLineChars="200"/>
        <w:jc w:val="righ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2026年4月9日</w:t>
      </w: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 w:semiHidden="0" w:uiPriority="99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10" w:type="character">
    <w:name w:val="Default Paragraph Font"/>
    <w:semiHidden/>
    <w:unhideWhenUsed/>
    <w:qFormat/>
    <w:uiPriority w:val="1"/>
  </w:style>
  <w:style w:default="1" w:styleId="8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7" w:type="paragraph">
    <w:name w:val="Normal (Web)"/>
    <w:basedOn w:val="1"/>
    <w:unhideWhenUsed/>
    <w:qFormat/>
    <w:uiPriority w:val="99"/>
    <w:pPr>
      <w:widowControl/>
      <w:spacing w:after="100" w:afterAutospacing="1" w:before="100" w:beforeAutospacing="1"/>
      <w:jc w:val="left"/>
    </w:pPr>
    <w:rPr>
      <w:rFonts w:ascii="宋体" w:cs="宋体" w:eastAsia="宋体" w:hAnsi="宋体"/>
      <w:kern w:val="0"/>
      <w:sz w:val="24"/>
    </w:rPr>
  </w:style>
  <w:style w:styleId="9" w:type="table">
    <w:name w:val="Table Grid"/>
    <w:basedOn w:val="8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  <w:style w:styleId="XDocReport_Hyperlink" w:type="character">
    <w:name w:val="Hyperlink"/>
    <!-- <w:basedOn w:val="Policepardfaut" /> -->
    <w:uiPriority w:val="99"/>
    <w:unhideWhenUsed/>
    <!-- <w:rsid w:val="00CB4FF3" /> -->
    <w:rPr>
      <w:color w:themeColor="hyperlink" w:val="0000FF"/>
      <w:u w:val="single"/>
    </w:rPr>
  </w:style>
  <w:style w:styleId="XDocReport_Heading_4" w:type="paragraph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XDocReport_Heading_5" w:type="paragraph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XDocReport_Heading_6" w:type="paragraph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