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hd w:val="clear" w:fill="FFFFFF"/>
        <w:spacing w:line="315" w:lineRule="atLeast"/>
        <w:jc w:val="center"/>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广东南粤银行数据中心专业电气维保服务项目项目需求</w:t>
      </w:r>
    </w:p>
    <w:p>
      <w:pPr>
        <w:keepNext w:val="0"/>
        <w:keepLines w:val="0"/>
        <w:widowControl/>
        <w:numPr>
          <w:ilvl w:val="0"/>
          <w:numId w:val="1"/>
        </w:numPr>
        <w:suppressLineNumbers w:val="0"/>
        <w:shd w:val="clear" w:fill="FFFFFF"/>
        <w:spacing w:line="315" w:lineRule="atLeast"/>
        <w:ind w:leftChars="0"/>
        <w:jc w:val="left"/>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项目概述：</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为保障我行数据中心高低压配电系统安全可靠稳定运行，拟开展</w:t>
      </w:r>
      <w:bookmarkStart w:id="3" w:name="_GoBack"/>
      <w:bookmarkEnd w:id="3"/>
      <w:r>
        <w:rPr>
          <w:rFonts w:hint="eastAsia" w:ascii="仿宋" w:hAnsi="仿宋" w:eastAsia="仿宋" w:cs="仿宋"/>
          <w:b w:val="0"/>
          <w:bCs w:val="0"/>
          <w:i w:val="0"/>
          <w:iCs w:val="0"/>
          <w:caps w:val="0"/>
          <w:color w:val="000000"/>
          <w:spacing w:val="0"/>
          <w:kern w:val="0"/>
          <w:sz w:val="24"/>
          <w:szCs w:val="24"/>
          <w:shd w:val="clear" w:fill="FFFFFF"/>
          <w:lang w:val="en-US" w:eastAsia="zh-CN" w:bidi="ar"/>
        </w:rPr>
        <w:t>数据中心专业电气维保服务项目，项目地址：广州市黄埔区。</w:t>
      </w:r>
    </w:p>
    <w:p>
      <w:pPr>
        <w:keepNext w:val="0"/>
        <w:keepLines w:val="0"/>
        <w:widowControl/>
        <w:numPr>
          <w:ilvl w:val="0"/>
          <w:numId w:val="0"/>
        </w:numPr>
        <w:suppressLineNumbers w:val="0"/>
        <w:shd w:val="clear" w:fill="FFFFFF"/>
        <w:spacing w:line="315" w:lineRule="atLeast"/>
        <w:jc w:val="left"/>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shd w:val="clear" w:fill="FFFFFF"/>
          <w:lang w:val="en-US" w:eastAsia="zh-CN" w:bidi="ar"/>
        </w:rPr>
        <w:t>2、维保内容：</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高压配电柜、变压器、低压配电柜、发电机及其配套操作用具护具等，</w:t>
      </w:r>
      <w:r>
        <w:rPr>
          <w:rFonts w:hint="eastAsia" w:ascii="仿宋" w:hAnsi="仿宋" w:eastAsia="仿宋" w:cs="仿宋"/>
          <w:b/>
          <w:bCs/>
          <w:i w:val="0"/>
          <w:iCs w:val="0"/>
          <w:caps w:val="0"/>
          <w:color w:val="C00000"/>
          <w:spacing w:val="0"/>
          <w:kern w:val="0"/>
          <w:sz w:val="24"/>
          <w:szCs w:val="24"/>
          <w:shd w:val="clear" w:fill="FFFFFF"/>
          <w:lang w:val="en-US" w:eastAsia="zh-CN" w:bidi="ar"/>
        </w:rPr>
        <w:t>注：下表设备处质保期（质保至2027年3月28日）</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w:t>
      </w:r>
    </w:p>
    <w:tbl>
      <w:tblPr>
        <w:tblStyle w:val="2"/>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7"/>
        <w:gridCol w:w="2883"/>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883"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10kV高压柜</w:t>
            </w:r>
          </w:p>
        </w:tc>
        <w:tc>
          <w:tcPr>
            <w:tcW w:w="4110" w:type="dxa"/>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直流屏</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低压柜</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高压柴油发电机</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发电机10KV开关柜</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接地电阻柜</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发电机集中控制柜</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发电机直流屏</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日用油箱</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埋地油库</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8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供油系统</w:t>
            </w:r>
          </w:p>
        </w:tc>
        <w:tc>
          <w:tcPr>
            <w:tcW w:w="4110"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1227"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993" w:type="dxa"/>
            <w:gridSpan w:val="2"/>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高低压电缆（限于接入高低压配电柜中的非设备类线缆，含各种电缆端头器材）</w:t>
            </w:r>
          </w:p>
        </w:tc>
      </w:tr>
    </w:tbl>
    <w:p>
      <w:pPr>
        <w:keepNext w:val="0"/>
        <w:keepLines w:val="0"/>
        <w:widowControl/>
        <w:suppressLineNumbers w:val="0"/>
        <w:shd w:val="clear" w:fill="FFFFFF"/>
        <w:spacing w:line="315" w:lineRule="atLeast"/>
        <w:ind w:left="0" w:firstLine="0"/>
        <w:jc w:val="left"/>
        <w:rPr>
          <w:rFonts w:hint="eastAsia" w:ascii="仿宋" w:hAnsi="仿宋" w:eastAsia="仿宋" w:cs="仿宋"/>
          <w:b w:val="0"/>
          <w:bCs w:val="0"/>
          <w:i w:val="0"/>
          <w:iCs w:val="0"/>
          <w:caps w:val="0"/>
          <w:color w:val="000000"/>
          <w:spacing w:val="0"/>
          <w:sz w:val="24"/>
          <w:szCs w:val="24"/>
        </w:rPr>
      </w:pPr>
    </w:p>
    <w:p>
      <w:pPr>
        <w:rPr>
          <w:rFonts w:hint="eastAsia" w:ascii="仿宋" w:hAnsi="仿宋" w:eastAsia="仿宋" w:cs="仿宋"/>
          <w:b/>
          <w:bCs/>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br w:type="page"/>
      </w:r>
    </w:p>
    <w:p>
      <w:pPr>
        <w:keepNext w:val="0"/>
        <w:keepLines w:val="0"/>
        <w:widowControl/>
        <w:suppressLineNumbers w:val="0"/>
        <w:shd w:val="clear" w:fill="FFFFFF"/>
        <w:spacing w:line="315" w:lineRule="atLeast"/>
        <w:ind w:left="0" w:firstLine="0"/>
        <w:jc w:val="left"/>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shd w:val="clear" w:fill="FFFFFF"/>
          <w:lang w:val="en-US" w:eastAsia="zh-CN" w:bidi="ar"/>
        </w:rPr>
        <w:t>3、维保项目及工作内容主要包括：</w:t>
      </w:r>
    </w:p>
    <w:tbl>
      <w:tblPr>
        <w:tblStyle w:val="2"/>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4"/>
        <w:gridCol w:w="2608"/>
        <w:gridCol w:w="52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7" w:hRule="atLeast"/>
          <w:tblHeader/>
        </w:trPr>
        <w:tc>
          <w:tcPr>
            <w:tcW w:w="407"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序号</w:t>
            </w:r>
          </w:p>
        </w:tc>
        <w:tc>
          <w:tcPr>
            <w:tcW w:w="1530"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项目名称</w:t>
            </w:r>
          </w:p>
        </w:tc>
        <w:tc>
          <w:tcPr>
            <w:tcW w:w="306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工作内容及要求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93" w:hRule="atLeast"/>
          <w:tblHeader/>
        </w:trPr>
        <w:tc>
          <w:tcPr>
            <w:tcW w:w="407"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w:t>
            </w:r>
          </w:p>
        </w:tc>
        <w:tc>
          <w:tcPr>
            <w:tcW w:w="1530"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default"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常规性维护维修服务事项——年度维护保养及并出具预防性试验报告报告（报告需具备资质的第三方检测机构加盖印章，CNAS或CMA）</w:t>
            </w: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bookmarkStart w:id="0" w:name="_Toc21619"/>
            <w:bookmarkEnd w:id="0"/>
            <w:bookmarkStart w:id="1" w:name="_Toc23713"/>
            <w:bookmarkEnd w:id="1"/>
            <w:bookmarkStart w:id="2" w:name="_Toc15541"/>
            <w:r>
              <w:rPr>
                <w:rFonts w:hint="eastAsia" w:ascii="仿宋" w:hAnsi="仿宋" w:eastAsia="仿宋" w:cs="仿宋"/>
                <w:color w:val="auto"/>
                <w:kern w:val="0"/>
                <w:sz w:val="24"/>
                <w:szCs w:val="24"/>
                <w:lang w:val="en-US" w:eastAsia="zh-CN" w:bidi="ar"/>
              </w:rPr>
              <w:t>变压器的预防性试验——绕组直流电阻和变比，绕组、套管的交流耐压试验，绝缘电阻和吸收比，接地电阻测试</w:t>
            </w:r>
            <w:bookmarkEnd w:id="2"/>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6"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高压开关柜预防性试验——绝缘电阻，工频耐压，开关回路电阻，PT、CT的耐压和变比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4"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母线的工频耐压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2"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避雷器耐压试验、泄露电流测试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5"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直流屏预防性试验（报警保护功能，微机控制高频开关电源直流系统，交流自投功能检测，电池巡检仪功能检测，绝缘监测仪功能检测，电池组放电试验）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2"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低压开关柜预防性试验——低压开关、补偿电容、二次回路检测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发电机预防性试验，发电机控制柜预防性试验，发电机假负载测试试验（假负载由乙方提供，含临时接入电缆及接入服务）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高压电缆预防性试验、高压配套操作器材护具送检等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w:t>
            </w:r>
          </w:p>
        </w:tc>
        <w:tc>
          <w:tcPr>
            <w:tcW w:w="1530"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常规性维护维修服务事项——每季度巡检一次的周期性检查并出具报告。</w:t>
            </w: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电房环境安全检查，室内清扫、配电装置与仪表清洁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高压带电显示装置，仪表、信号装置的显示及示数检查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高低压进线柜、出线柜、电压（电流）互感器、避雷器各接点接线端子等有无弧光闪络痕迹和打火现象检查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7"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电气设备的工作噪音异常检查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各配电柜二次控制线路接点有无松动碳化现象检查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变压器检查：冷却风机、运行电压、电流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电容补偿柜一次熔断器、二次熔断器、接触器，电容器接点检测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发电机空载运行，检查电压，频率，油压，温度，流速，润滑，冷却系统，油料系统，紧急制动，碳刷、集电环，电气绝缘，电缆零部件，电池，起动电机等检查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w:t>
            </w:r>
          </w:p>
        </w:tc>
        <w:tc>
          <w:tcPr>
            <w:tcW w:w="1530"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常规性维护维修服务事项——故障设备元器件更换</w:t>
            </w: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服务周期内的故障、缺陷、寿命期外的元器件予以更换，范围为</w:t>
            </w:r>
            <w:r>
              <w:rPr>
                <w:rFonts w:hint="eastAsia" w:ascii="仿宋" w:hAnsi="仿宋" w:eastAsia="仿宋" w:cs="仿宋"/>
                <w:b/>
                <w:bCs/>
                <w:i w:val="0"/>
                <w:iCs w:val="0"/>
                <w:caps w:val="0"/>
                <w:color w:val="auto"/>
                <w:spacing w:val="0"/>
                <w:kern w:val="0"/>
                <w:sz w:val="24"/>
                <w:szCs w:val="24"/>
                <w:shd w:val="clear" w:fill="FFFFFF"/>
                <w:lang w:val="en-US" w:eastAsia="zh-CN" w:bidi="ar"/>
              </w:rPr>
              <w:t>2、设备器材主要</w:t>
            </w:r>
            <w:r>
              <w:rPr>
                <w:rFonts w:hint="eastAsia" w:ascii="仿宋" w:hAnsi="仿宋" w:eastAsia="仿宋" w:cs="仿宋"/>
                <w:color w:val="auto"/>
                <w:kern w:val="0"/>
                <w:sz w:val="24"/>
                <w:szCs w:val="24"/>
                <w:lang w:val="en-US" w:eastAsia="zh-CN" w:bidi="ar"/>
              </w:rPr>
              <w:t>（变压器、高低压柜体的整体成套更换除外）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w:t>
            </w:r>
          </w:p>
        </w:tc>
        <w:tc>
          <w:tcPr>
            <w:tcW w:w="1530"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常规性维护维修服务事项——变压器、发电机、高低压柜整体更换</w:t>
            </w: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乙方以设备购置费增值税专用发票为依据，向甲方收取本维保服务项目合同金额之外的设备购置费用，但所涉及的人工、机械、材料等安拆费和维修费不再另行计取。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p>
        </w:tc>
        <w:tc>
          <w:tcPr>
            <w:tcW w:w="1530"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报障响应及排除时间</w:t>
            </w: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乙方维修人员需在接到甲方报障电话通知0.5小时内抵达现场处理故障。</w:t>
            </w:r>
          </w:p>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乙方提供7×24小时故障报修电话值班服务</w:t>
            </w:r>
          </w:p>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乙方抢修总负责人及联系电话：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重大电源设备故障即变压器和发电机退出运行，当损毁需整体更换时，乙方须在7个日历天内予以完成旧设备拆除、新设备更换直至恢复供电。抢修完成后，乙方以设备费增值税专用发票为依据，向甲方收取设备费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如变压器、发电机和高压柜体无须整体更换，仅发生内部保护电路和器件故障，乙方须在24小时内予以恢复。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1530"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color w:val="auto"/>
                <w:sz w:val="24"/>
                <w:szCs w:val="24"/>
              </w:rPr>
            </w:pP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变压器、发电机本体外的配电设备和控制设备的一般性故障，乙方须在12小时内予以排除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80" w:hRule="atLeast"/>
          <w:tblHeader/>
        </w:trPr>
        <w:tc>
          <w:tcPr>
            <w:tcW w:w="40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6</w:t>
            </w:r>
          </w:p>
        </w:tc>
        <w:tc>
          <w:tcPr>
            <w:tcW w:w="1530"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备品备件储备</w:t>
            </w:r>
          </w:p>
        </w:tc>
        <w:tc>
          <w:tcPr>
            <w:tcW w:w="3062"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乙方应按现场设备元器件型号规格，提供高压输入/输出及低压输入输出断路器，便于维护替换的快捷进行。维保合同期间，乙方随时接受甲方人员对其自有发电机和库房备品备件储备情况的检查。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w:t>
            </w:r>
          </w:p>
        </w:tc>
        <w:tc>
          <w:tcPr>
            <w:tcW w:w="1530" w:type="pct"/>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电力设备维护专业技能培训 </w:t>
            </w:r>
          </w:p>
        </w:tc>
        <w:tc>
          <w:tcPr>
            <w:tcW w:w="3062" w:type="pct"/>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80" w:lineRule="atLeast"/>
              <w:ind w:left="0" w:right="0" w:hanging="36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1、电力系统基础培训</w:t>
            </w:r>
          </w:p>
          <w:p>
            <w:pPr>
              <w:keepNext w:val="0"/>
              <w:keepLines w:val="0"/>
              <w:widowControl/>
              <w:suppressLineNumbers w:val="0"/>
              <w:spacing w:before="0" w:beforeAutospacing="0" w:after="0" w:afterAutospacing="0" w:line="480" w:lineRule="atLeast"/>
              <w:ind w:left="0" w:right="0" w:hanging="36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2、配电房设备组成及操作规范</w:t>
            </w:r>
          </w:p>
          <w:p>
            <w:pPr>
              <w:keepNext w:val="0"/>
              <w:keepLines w:val="0"/>
              <w:widowControl/>
              <w:suppressLineNumbers w:val="0"/>
              <w:spacing w:before="0" w:beforeAutospacing="0" w:after="0" w:afterAutospacing="0" w:line="480" w:lineRule="atLeast"/>
              <w:ind w:left="0" w:right="0" w:hanging="36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3、日常维护与巡检管理</w:t>
            </w:r>
          </w:p>
          <w:p>
            <w:pPr>
              <w:keepNext w:val="0"/>
              <w:keepLines w:val="0"/>
              <w:widowControl/>
              <w:suppressLineNumbers w:val="0"/>
              <w:spacing w:before="0" w:beforeAutospacing="0" w:after="0" w:afterAutospacing="0" w:line="480" w:lineRule="atLeast"/>
              <w:ind w:left="0" w:right="0" w:hanging="36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4、安全防护与应急处理</w:t>
            </w:r>
          </w:p>
          <w:p>
            <w:pPr>
              <w:keepNext w:val="0"/>
              <w:keepLines w:val="0"/>
              <w:widowControl/>
              <w:suppressLineNumbers w:val="0"/>
              <w:tabs>
                <w:tab w:val="left" w:pos="228"/>
              </w:tabs>
              <w:spacing w:before="0" w:beforeAutospacing="0" w:after="0" w:afterAutospacing="0" w:line="480" w:lineRule="atLeast"/>
              <w:ind w:left="0" w:right="0" w:hanging="36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val="en-US" w:eastAsia="zh-CN" w:bidi="ar"/>
              </w:rPr>
              <w:tab/>
            </w:r>
            <w:r>
              <w:rPr>
                <w:rFonts w:hint="eastAsia" w:ascii="仿宋" w:hAnsi="仿宋" w:eastAsia="仿宋" w:cs="仿宋"/>
                <w:color w:val="auto"/>
                <w:kern w:val="0"/>
                <w:sz w:val="24"/>
                <w:szCs w:val="24"/>
                <w:lang w:val="en-US" w:eastAsia="zh-CN" w:bidi="ar"/>
              </w:rPr>
              <w:t xml:space="preserve"> 5、编写高低压配电设备应急故障处置规范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blHeader/>
        </w:trPr>
        <w:tc>
          <w:tcPr>
            <w:tcW w:w="407" w:type="pct"/>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w:t>
            </w:r>
          </w:p>
        </w:tc>
        <w:tc>
          <w:tcPr>
            <w:tcW w:w="1530" w:type="pct"/>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柴油提供</w:t>
            </w:r>
          </w:p>
        </w:tc>
        <w:tc>
          <w:tcPr>
            <w:tcW w:w="3062" w:type="pct"/>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tabs>
                <w:tab w:val="left" w:pos="632"/>
              </w:tabs>
              <w:spacing w:before="0" w:beforeAutospacing="0" w:after="0" w:afterAutospacing="0" w:line="480" w:lineRule="atLeast"/>
              <w:ind w:left="0" w:right="0" w:hanging="36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ab/>
            </w:r>
            <w:r>
              <w:rPr>
                <w:rFonts w:hint="eastAsia" w:ascii="仿宋" w:hAnsi="仿宋" w:eastAsia="仿宋" w:cs="仿宋"/>
                <w:color w:val="auto"/>
                <w:kern w:val="0"/>
                <w:sz w:val="24"/>
                <w:szCs w:val="24"/>
                <w:lang w:val="en-US" w:eastAsia="zh-CN" w:bidi="ar"/>
              </w:rPr>
              <w:t>与第三方加油站签订供油协议，供油时效需在接到通知后三十分钟内到达现场。费用以燃油购置费增值税专用发票为依据，向甲方收取费用（单价参考当天柴油市场价）</w:t>
            </w:r>
          </w:p>
        </w:tc>
      </w:tr>
    </w:tbl>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6EC35"/>
    <w:multiLevelType w:val="singleLevel"/>
    <w:tmpl w:val="0186EC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FE6DCF"/>
    <w:rsid w:val="0B0148A1"/>
    <w:rsid w:val="19B35B0D"/>
    <w:rsid w:val="2FC43258"/>
    <w:rsid w:val="35AF3EE2"/>
    <w:rsid w:val="3AB12F5C"/>
    <w:rsid w:val="3E956FDC"/>
    <w:rsid w:val="3F356D83"/>
    <w:rsid w:val="414A7D25"/>
    <w:rsid w:val="492340A0"/>
    <w:rsid w:val="4A283338"/>
    <w:rsid w:val="536D2E8D"/>
    <w:rsid w:val="5FDA5FBE"/>
    <w:rsid w:val="613F398D"/>
    <w:rsid w:val="659A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2026-01-20T01:06:00Z</dcterms:created>
  <dc:creator>010828</dc:creator>
  <cp:lastModifiedBy>010828</cp:lastModifiedBy>
  <dcterms:modified xsi:type="dcterms:W3CDTF">2026-03-13T02:18:22Z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CC314339BF5743BCB7B03D68E2DFDACC</vt:lpwstr>
  </property>
</Properties>
</file>