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40" w:lineRule="atLeast"/>
        <w:jc w:val="cente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关于调整</w:t>
      </w:r>
      <w:bookmarkStart w:id="0"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贵竹固收增利月月盈30天持有期11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民生理财贵竹固收增利月月盈30天持有期11号理财产品</w:t>
      </w:r>
      <w:r>
        <w:rPr>
          <w:rFonts w:hint="eastAsia" w:ascii="宋体" w:hAnsi="宋体" w:eastAsia="宋体" w:cs="宋体"/>
          <w:b/>
          <w:kern w:val="0"/>
          <w:sz w:val="30"/>
          <w:szCs w:val="30"/>
          <w:lang w:val="en-US" w:eastAsia="zh-CN" w:bidi="ar-SA"/>
        </w:rPr>
        <w:fldChar w:fldCharType="end"/>
      </w:r>
      <w:bookmarkEnd w:id="0"/>
      <w:r>
        <w:rPr>
          <w:rFonts w:hint="eastAsia" w:ascii="宋体" w:hAnsi="宋体" w:eastAsia="宋体" w:cs="宋体"/>
          <w:b/>
          <w:sz w:val="30"/>
          <w:szCs w:val="30"/>
          <w:lang w:val="en-US" w:eastAsia="zh-CN"/>
        </w:rPr>
        <w:t>业绩比较基准的公告</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eastAsia="仿宋_GB2312"/>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尊敬的投资者：</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jc w:val="left"/>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sz w:val="28"/>
          <w:szCs w:val="28"/>
          <w:lang w:val="en-US" w:eastAsia="zh-CN"/>
        </w:rPr>
        <w:t>根据</w:t>
      </w:r>
      <w:bookmarkStart w:id="1" w:name="FileSave"/>
      <w:r>
        <w:rPr>
          <w:rFonts w:hint="eastAsia" w:ascii="仿宋_GB2312" w:hAnsi="Calibri" w:eastAsia="仿宋_GB2312" w:cs="Times New Roman"/>
          <w:b w:val="0"/>
          <w:bCs/>
          <w:kern w:val="2"/>
          <w:sz w:val="28"/>
          <w:szCs w:val="28"/>
          <w:lang w:val="en-US" w:eastAsia="zh-CN" w:bidi="ar-SA"/>
        </w:rPr>
        <w:fldChar w:fldCharType="begin">
          <w:ffData>
            <w:name w:val="FileSave"/>
            <w:enabled/>
            <w:calcOnExit w:val="0"/>
            <w:textInput>
              <w:default w:val="民生理财贵竹固收增利月月盈30天持有期11号理财产品"/>
            </w:textInput>
          </w:ffData>
        </w:fldChar>
      </w:r>
      <w:r>
        <w:rPr>
          <w:rFonts w:hint="eastAsia" w:ascii="仿宋_GB2312" w:hAnsi="Calibri" w:eastAsia="仿宋_GB2312" w:cs="Times New Roman"/>
          <w:b w:val="0"/>
          <w:bCs/>
          <w:kern w:val="2"/>
          <w:sz w:val="28"/>
          <w:szCs w:val="28"/>
          <w:lang w:val="en-US" w:eastAsia="zh-CN" w:bidi="ar-SA"/>
        </w:rPr>
        <w:instrText xml:space="preserve">FORMTEXT</w:instrText>
      </w:r>
      <w:r>
        <w:rPr>
          <w:rFonts w:hint="eastAsia" w:ascii="仿宋_GB2312" w:hAnsi="Calibri" w:eastAsia="仿宋_GB2312" w:cs="Times New Roman"/>
          <w:b w:val="0"/>
          <w:bCs/>
          <w:kern w:val="2"/>
          <w:sz w:val="28"/>
          <w:szCs w:val="28"/>
          <w:lang w:val="en-US" w:eastAsia="zh-CN" w:bidi="ar-SA"/>
        </w:rPr>
        <w:fldChar w:fldCharType="separate"/>
      </w:r>
      <w:r>
        <w:rPr>
          <w:rFonts w:hint="eastAsia" w:ascii="仿宋_GB2312" w:hAnsi="Calibri" w:eastAsia="仿宋_GB2312" w:cs="Times New Roman"/>
          <w:b w:val="0"/>
          <w:bCs/>
          <w:kern w:val="2"/>
          <w:sz w:val="28"/>
          <w:szCs w:val="28"/>
          <w:lang w:val="en-US" w:eastAsia="zh-CN" w:bidi="ar-SA"/>
        </w:rPr>
        <w:t>民生理财贵竹固收增利月月盈30天持有期11号理财产品</w:t>
      </w:r>
      <w:r>
        <w:rPr>
          <w:rFonts w:hint="eastAsia" w:ascii="仿宋_GB2312" w:hAnsi="Calibri" w:eastAsia="仿宋_GB2312" w:cs="Times New Roman"/>
          <w:b w:val="0"/>
          <w:bCs/>
          <w:kern w:val="2"/>
          <w:sz w:val="28"/>
          <w:szCs w:val="28"/>
          <w:lang w:val="en-US" w:eastAsia="zh-CN" w:bidi="ar-SA"/>
        </w:rPr>
        <w:fldChar w:fldCharType="end"/>
      </w:r>
      <w:bookmarkEnd w:id="1"/>
      <w:r>
        <w:rPr>
          <w:rFonts w:hint="eastAsia" w:ascii="仿宋" w:hAnsi="仿宋" w:eastAsia="仿宋" w:cs="仿宋"/>
          <w:b w:val="0"/>
          <w:bCs/>
          <w:kern w:val="2"/>
          <w:sz w:val="28"/>
          <w:szCs w:val="28"/>
          <w:lang w:val="en-US" w:eastAsia="zh-CN" w:bidi="ar-SA"/>
        </w:rPr>
        <w:t>的理财合同约定及当前市场情况，我司决定自</w:t>
      </w:r>
      <w:bookmarkStart w:id="2" w:name="Text1"/>
      <w:r>
        <w:rPr>
          <w:rFonts w:hint="eastAsia" w:ascii="仿宋_GB2312" w:hAnsi="Calibri" w:eastAsia="仿宋_GB2312" w:cs="Times New Roman"/>
          <w:b w:val="0"/>
          <w:bCs/>
          <w:kern w:val="2"/>
          <w:sz w:val="28"/>
          <w:szCs w:val="28"/>
          <w:lang w:val="en-US" w:eastAsia="zh-CN" w:bidi="ar-SA"/>
        </w:rPr>
        <w:fldChar w:fldCharType="begin">
          <w:ffData>
            <w:name w:val="Text1"/>
            <w:enabled w:val="0"/>
            <w:calcOnExit w:val="0"/>
            <w:textInput>
              <w:default w:val="2025年11月21日"/>
            </w:textInput>
          </w:ffData>
        </w:fldChar>
      </w:r>
      <w:r>
        <w:rPr>
          <w:rFonts w:hint="eastAsia" w:ascii="仿宋_GB2312" w:hAnsi="Calibri" w:eastAsia="仿宋_GB2312" w:cs="Times New Roman"/>
          <w:b w:val="0"/>
          <w:bCs/>
          <w:kern w:val="2"/>
          <w:sz w:val="28"/>
          <w:szCs w:val="28"/>
          <w:lang w:val="en-US" w:eastAsia="zh-CN" w:bidi="ar-SA"/>
        </w:rPr>
        <w:instrText xml:space="preserve">FORMTEXT</w:instrText>
      </w:r>
      <w:r>
        <w:rPr>
          <w:rFonts w:hint="eastAsia" w:ascii="仿宋_GB2312" w:hAnsi="Calibri" w:eastAsia="仿宋_GB2312" w:cs="Times New Roman"/>
          <w:b w:val="0"/>
          <w:bCs/>
          <w:kern w:val="2"/>
          <w:sz w:val="28"/>
          <w:szCs w:val="28"/>
          <w:lang w:val="en-US" w:eastAsia="zh-CN" w:bidi="ar-SA"/>
        </w:rPr>
        <w:fldChar w:fldCharType="separate"/>
      </w:r>
      <w:r>
        <w:rPr>
          <w:rFonts w:hint="eastAsia" w:ascii="仿宋_GB2312" w:hAnsi="Calibri" w:eastAsia="仿宋_GB2312" w:cs="Times New Roman"/>
          <w:b w:val="0"/>
          <w:bCs/>
          <w:kern w:val="2"/>
          <w:sz w:val="28"/>
          <w:szCs w:val="28"/>
          <w:lang w:val="en-US" w:eastAsia="zh-CN" w:bidi="ar-SA"/>
        </w:rPr>
        <w:t>2025年11月21日</w:t>
      </w:r>
      <w:r>
        <w:rPr>
          <w:rFonts w:hint="eastAsia" w:ascii="仿宋_GB2312" w:hAnsi="Calibri" w:eastAsia="仿宋_GB2312" w:cs="Times New Roman"/>
          <w:b w:val="0"/>
          <w:bCs/>
          <w:kern w:val="2"/>
          <w:sz w:val="28"/>
          <w:szCs w:val="28"/>
          <w:lang w:val="en-US" w:eastAsia="zh-CN" w:bidi="ar-SA"/>
        </w:rPr>
        <w:fldChar w:fldCharType="end"/>
      </w:r>
      <w:bookmarkEnd w:id="2"/>
      <w:r>
        <w:rPr>
          <w:rFonts w:hint="eastAsia" w:ascii="仿宋" w:hAnsi="仿宋" w:eastAsia="仿宋" w:cs="仿宋"/>
          <w:b w:val="0"/>
          <w:bCs/>
          <w:kern w:val="2"/>
          <w:sz w:val="28"/>
          <w:szCs w:val="28"/>
          <w:lang w:val="en-US" w:eastAsia="zh-CN" w:bidi="ar-SA"/>
        </w:rPr>
        <w:t>起，调整本理财产品的业绩比较基准，具体如下：</w:t>
      </w: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813"/>
        <w:gridCol w:w="1813"/>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50"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产品代码</w:t>
            </w:r>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调整前业绩比较基准</w:t>
            </w:r>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调整后业绩比较基准</w:t>
            </w:r>
          </w:p>
        </w:tc>
        <w:tc>
          <w:tcPr>
            <w:tcW w:w="3752"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业绩比较基准测算依据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FBAE41311E/FBAE41311F/FBAE41311P/FBAE41311M"/>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FBAE41311E/FBAE41311F/FBAE41311P/FBAE41311M</w:t>
            </w:r>
            <w:r>
              <w:rPr>
                <w:rFonts w:hint="eastAsia" w:ascii="仿宋" w:hAnsi="仿宋" w:eastAsia="仿宋" w:cs="仿宋"/>
                <w:kern w:val="2"/>
                <w:sz w:val="24"/>
                <w:szCs w:val="24"/>
                <w:vertAlign w:val="baseline"/>
                <w:lang w:val="en-US" w:eastAsia="zh-CN" w:bidi="ar-SA"/>
              </w:rPr>
              <w:fldChar w:fldCharType="end"/>
            </w:r>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bookmarkStart w:id="3" w:name="Text4"/>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2.20%-2.80%（年化）"/>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2.20%-2.80%（年化）</w:t>
            </w:r>
            <w:r>
              <w:rPr>
                <w:rFonts w:hint="eastAsia" w:ascii="仿宋" w:hAnsi="仿宋" w:eastAsia="仿宋" w:cs="仿宋"/>
                <w:kern w:val="2"/>
                <w:sz w:val="24"/>
                <w:szCs w:val="24"/>
                <w:vertAlign w:val="baseline"/>
                <w:lang w:val="en-US" w:eastAsia="zh-CN" w:bidi="ar-SA"/>
              </w:rPr>
              <w:fldChar w:fldCharType="end"/>
            </w:r>
            <w:bookmarkEnd w:id="3"/>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1.50%-2.20%（年化）"/>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1.50%-2.20%（年化）</w:t>
            </w:r>
            <w:r>
              <w:rPr>
                <w:rFonts w:hint="eastAsia" w:ascii="仿宋" w:hAnsi="仿宋" w:eastAsia="仿宋" w:cs="仿宋"/>
                <w:kern w:val="2"/>
                <w:sz w:val="24"/>
                <w:szCs w:val="24"/>
                <w:vertAlign w:val="baseline"/>
                <w:lang w:val="en-US" w:eastAsia="zh-CN" w:bidi="ar-SA"/>
              </w:rPr>
              <w:fldChar w:fldCharType="end"/>
            </w:r>
            <w:bookmarkStart w:id="5" w:name="_GoBack"/>
            <w:bookmarkEnd w:id="5"/>
          </w:p>
        </w:tc>
        <w:tc>
          <w:tcPr>
            <w:tcW w:w="3752" w:type="dxa"/>
            <w:vAlign w:val="center"/>
          </w:tcPr>
          <w:p>
            <w:pPr>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fldChar w:fldCharType="begin">
                <w:ffData>
                  <w:name w:val="Text4"/>
                  <w:enabled/>
                  <w:calcOnExit w:val="0"/>
                  <w:textInput>
                    <w:default w:val="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
                  </w:textInput>
                </w:ffData>
              </w:fldChar>
            </w:r>
            <w:r>
              <w:rPr>
                <w:rFonts w:hint="eastAsia" w:ascii="仿宋" w:hAnsi="仿宋" w:eastAsia="仿宋" w:cs="仿宋"/>
                <w:b w:val="0"/>
                <w:bCs/>
                <w:kern w:val="2"/>
                <w:sz w:val="24"/>
                <w:szCs w:val="24"/>
                <w:vertAlign w:val="baseline"/>
                <w:lang w:val="en-US" w:eastAsia="zh-CN" w:bidi="ar-SA"/>
              </w:rPr>
              <w:instrText xml:space="preserve">FORMTEXT</w:instrText>
            </w:r>
            <w:r>
              <w:rPr>
                <w:rFonts w:hint="eastAsia" w:ascii="仿宋" w:hAnsi="仿宋" w:eastAsia="仿宋" w:cs="仿宋"/>
                <w:b w:val="0"/>
                <w:bCs/>
                <w:kern w:val="2"/>
                <w:sz w:val="24"/>
                <w:szCs w:val="24"/>
                <w:vertAlign w:val="baseline"/>
                <w:lang w:val="en-US" w:eastAsia="zh-CN" w:bidi="ar-SA"/>
              </w:rPr>
              <w:fldChar w:fldCharType="separate"/>
            </w:r>
            <w:r>
              <w:rPr>
                <w:rFonts w:hint="eastAsia" w:ascii="仿宋" w:hAnsi="仿宋" w:eastAsia="仿宋" w:cs="仿宋"/>
                <w:b w:val="0"/>
                <w:bCs/>
                <w:kern w:val="2"/>
                <w:sz w:val="24"/>
                <w:szCs w:val="24"/>
                <w:vertAlign w:val="baseline"/>
                <w:lang w:val="en-US" w:eastAsia="zh-CN" w:bidi="ar-SA"/>
              </w:rPr>
              <w:t>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w:t>
            </w:r>
            <w:r>
              <w:rPr>
                <w:rFonts w:hint="eastAsia" w:ascii="仿宋" w:hAnsi="仿宋" w:eastAsia="仿宋" w:cs="仿宋"/>
                <w:b w:val="0"/>
                <w:bCs/>
                <w:kern w:val="2"/>
                <w:sz w:val="24"/>
                <w:szCs w:val="24"/>
                <w:vertAlign w:val="baseline"/>
                <w:lang w:val="en-US" w:eastAsia="zh-CN" w:bidi="ar-SA"/>
              </w:rPr>
              <w:fldChar w:fldCharType="end"/>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firstLine="560"/>
        <w:jc w:val="left"/>
        <w:textAlignment w:val="auto"/>
        <w:outlineLvl w:val="9"/>
        <w:rPr>
          <w:rFonts w:hint="eastAsia" w:ascii="仿宋" w:hAnsi="仿宋" w:eastAsia="仿宋" w:cs="仿宋"/>
          <w:b w:val="0"/>
          <w:bCs/>
          <w:kern w:val="2"/>
          <w:sz w:val="28"/>
          <w:szCs w:val="28"/>
          <w:lang w:val="en-US" w:eastAsia="zh-CN" w:bidi="ar-SA"/>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业绩比较基准是基于过往投资经验及对理财产品存续期内市场波动的预判而对本理财产品设定的投资目标，业绩比较基准不代表本理财产品的未来表现和实际收益，亦不构成对本理财产品的收益承诺。</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感谢您</w:t>
      </w:r>
      <w:r>
        <w:rPr>
          <w:rFonts w:hint="eastAsia" w:ascii="仿宋" w:hAnsi="仿宋" w:eastAsia="仿宋" w:cs="仿宋"/>
          <w:sz w:val="28"/>
          <w:szCs w:val="28"/>
          <w:lang w:val="en-US" w:eastAsia="zh-CN"/>
        </w:rPr>
        <w:t>一直以来</w:t>
      </w:r>
      <w:r>
        <w:rPr>
          <w:rFonts w:hint="eastAsia" w:ascii="仿宋" w:hAnsi="仿宋" w:eastAsia="仿宋" w:cs="仿宋"/>
          <w:sz w:val="28"/>
          <w:szCs w:val="28"/>
        </w:rPr>
        <w:t>对</w:t>
      </w:r>
      <w:r>
        <w:rPr>
          <w:rFonts w:hint="eastAsia" w:ascii="仿宋" w:hAnsi="仿宋" w:eastAsia="仿宋" w:cs="仿宋"/>
          <w:sz w:val="28"/>
          <w:szCs w:val="28"/>
          <w:lang w:val="en-US" w:eastAsia="zh-CN"/>
        </w:rPr>
        <w:t>民生理财有限责任公司的</w:t>
      </w:r>
      <w:r>
        <w:rPr>
          <w:rFonts w:hint="eastAsia" w:ascii="仿宋" w:hAnsi="仿宋" w:eastAsia="仿宋" w:cs="仿宋"/>
          <w:sz w:val="28"/>
          <w:szCs w:val="28"/>
        </w:rPr>
        <w:t>支持！敬请关注民生</w:t>
      </w:r>
      <w:r>
        <w:rPr>
          <w:rFonts w:hint="eastAsia" w:ascii="仿宋" w:hAnsi="仿宋" w:eastAsia="仿宋" w:cs="仿宋"/>
          <w:sz w:val="28"/>
          <w:szCs w:val="28"/>
          <w:lang w:val="en-US" w:eastAsia="zh-CN"/>
        </w:rPr>
        <w:t>理财正在热销</w:t>
      </w:r>
      <w:r>
        <w:rPr>
          <w:rFonts w:hint="eastAsia" w:ascii="仿宋" w:hAnsi="仿宋" w:eastAsia="仿宋" w:cs="仿宋"/>
          <w:sz w:val="28"/>
          <w:szCs w:val="28"/>
        </w:rPr>
        <w:t>的理财产品。</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特此公告。</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cs="仿宋"/>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民生理财有限责任公司</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仿宋_GB2312" w:eastAsia="仿宋_GB2312"/>
          <w:sz w:val="28"/>
          <w:szCs w:val="28"/>
          <w:lang w:val="en-US" w:eastAsia="zh-CN"/>
        </w:rPr>
      </w:pPr>
      <w:bookmarkStart w:id="4" w:name="Text3"/>
      <w:r>
        <w:rPr>
          <w:rFonts w:hint="eastAsia" w:ascii="仿宋" w:hAnsi="仿宋" w:eastAsia="仿宋" w:cs="仿宋"/>
          <w:kern w:val="2"/>
          <w:sz w:val="28"/>
          <w:szCs w:val="28"/>
          <w:vertAlign w:val="baseline"/>
          <w:lang w:val="en-US" w:eastAsia="zh-CN" w:bidi="ar-SA"/>
        </w:rPr>
        <w:fldChar w:fldCharType="begin">
          <w:ffData>
            <w:name w:val="Text3"/>
            <w:enabled/>
            <w:calcOnExit w:val="0"/>
            <w:textInput>
              <w:default w:val="2025年11月19日"/>
            </w:textInput>
          </w:ffData>
        </w:fldChar>
      </w:r>
      <w:r>
        <w:rPr>
          <w:rFonts w:hint="eastAsia" w:ascii="仿宋" w:hAnsi="仿宋" w:eastAsia="仿宋" w:cs="仿宋"/>
          <w:kern w:val="2"/>
          <w:sz w:val="28"/>
          <w:szCs w:val="28"/>
          <w:vertAlign w:val="baseline"/>
          <w:lang w:val="en-US" w:eastAsia="zh-CN" w:bidi="ar-SA"/>
        </w:rPr>
        <w:instrText xml:space="preserve">FORMTEXT</w:instrText>
      </w:r>
      <w:r>
        <w:rPr>
          <w:rFonts w:hint="eastAsia" w:ascii="仿宋" w:hAnsi="仿宋" w:eastAsia="仿宋" w:cs="仿宋"/>
          <w:kern w:val="2"/>
          <w:sz w:val="28"/>
          <w:szCs w:val="28"/>
          <w:vertAlign w:val="baseline"/>
          <w:lang w:val="en-US" w:eastAsia="zh-CN" w:bidi="ar-SA"/>
        </w:rPr>
        <w:fldChar w:fldCharType="separate"/>
      </w:r>
      <w:r>
        <w:rPr>
          <w:rFonts w:hint="eastAsia" w:ascii="仿宋" w:hAnsi="仿宋" w:eastAsia="仿宋" w:cs="仿宋"/>
          <w:kern w:val="2"/>
          <w:sz w:val="28"/>
          <w:szCs w:val="28"/>
          <w:vertAlign w:val="baseline"/>
          <w:lang w:val="en-US" w:eastAsia="zh-CN" w:bidi="ar-SA"/>
        </w:rPr>
        <w:t>2025年11月19日</w:t>
      </w:r>
      <w:r>
        <w:rPr>
          <w:rFonts w:hint="eastAsia" w:ascii="仿宋" w:hAnsi="仿宋" w:eastAsia="仿宋" w:cs="仿宋"/>
          <w:kern w:val="2"/>
          <w:sz w:val="28"/>
          <w:szCs w:val="28"/>
          <w:vertAlign w:val="baseline"/>
          <w:lang w:val="en-US" w:eastAsia="zh-CN" w:bidi="ar-SA"/>
        </w:rPr>
        <w:fldChar w:fldCharType="end"/>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31D0"/>
    <w:rsid w:val="00D01542"/>
    <w:rsid w:val="01F2753D"/>
    <w:rsid w:val="01F90943"/>
    <w:rsid w:val="01F91ED4"/>
    <w:rsid w:val="02F4030F"/>
    <w:rsid w:val="04F21708"/>
    <w:rsid w:val="05A2464F"/>
    <w:rsid w:val="05CB0295"/>
    <w:rsid w:val="08C9034E"/>
    <w:rsid w:val="092D75CA"/>
    <w:rsid w:val="09F906D6"/>
    <w:rsid w:val="0BA00B5F"/>
    <w:rsid w:val="0C02758C"/>
    <w:rsid w:val="0D307569"/>
    <w:rsid w:val="0E7335AA"/>
    <w:rsid w:val="0F101C83"/>
    <w:rsid w:val="0F340424"/>
    <w:rsid w:val="103B54B1"/>
    <w:rsid w:val="11F604B7"/>
    <w:rsid w:val="12AE1A9E"/>
    <w:rsid w:val="135B1D82"/>
    <w:rsid w:val="13D209C0"/>
    <w:rsid w:val="13DC1053"/>
    <w:rsid w:val="14946617"/>
    <w:rsid w:val="1499539E"/>
    <w:rsid w:val="15B829E3"/>
    <w:rsid w:val="16663659"/>
    <w:rsid w:val="17CC230C"/>
    <w:rsid w:val="17F36C58"/>
    <w:rsid w:val="1961058B"/>
    <w:rsid w:val="198C5E18"/>
    <w:rsid w:val="19D24A40"/>
    <w:rsid w:val="1A126964"/>
    <w:rsid w:val="1AA4758C"/>
    <w:rsid w:val="1B1D5607"/>
    <w:rsid w:val="1B254990"/>
    <w:rsid w:val="1CAF13C1"/>
    <w:rsid w:val="1DB53857"/>
    <w:rsid w:val="1DD21378"/>
    <w:rsid w:val="1EBA271B"/>
    <w:rsid w:val="1EBE13CD"/>
    <w:rsid w:val="1FE92264"/>
    <w:rsid w:val="203565E4"/>
    <w:rsid w:val="218F2F30"/>
    <w:rsid w:val="24A00605"/>
    <w:rsid w:val="24D1520C"/>
    <w:rsid w:val="258904D9"/>
    <w:rsid w:val="25D078E2"/>
    <w:rsid w:val="26210C1E"/>
    <w:rsid w:val="263D1F49"/>
    <w:rsid w:val="281F658B"/>
    <w:rsid w:val="282947F3"/>
    <w:rsid w:val="28AC2371"/>
    <w:rsid w:val="294A37C8"/>
    <w:rsid w:val="2AB12D3B"/>
    <w:rsid w:val="2B3A2218"/>
    <w:rsid w:val="2BDA0A09"/>
    <w:rsid w:val="2D104B23"/>
    <w:rsid w:val="2D726F1C"/>
    <w:rsid w:val="2DCE479E"/>
    <w:rsid w:val="2F4175EC"/>
    <w:rsid w:val="31D41E29"/>
    <w:rsid w:val="323C4FF7"/>
    <w:rsid w:val="32BA74C2"/>
    <w:rsid w:val="3652547E"/>
    <w:rsid w:val="3A4164A5"/>
    <w:rsid w:val="3B990E7C"/>
    <w:rsid w:val="3C6745CB"/>
    <w:rsid w:val="3E583AE6"/>
    <w:rsid w:val="3EDA7CAE"/>
    <w:rsid w:val="3FF25841"/>
    <w:rsid w:val="4165456E"/>
    <w:rsid w:val="42D73F6F"/>
    <w:rsid w:val="4436046F"/>
    <w:rsid w:val="464D394C"/>
    <w:rsid w:val="4CB4682F"/>
    <w:rsid w:val="4CD503B8"/>
    <w:rsid w:val="4DA86192"/>
    <w:rsid w:val="4DAE38C9"/>
    <w:rsid w:val="4E9E1B5E"/>
    <w:rsid w:val="50C336CD"/>
    <w:rsid w:val="526F41A8"/>
    <w:rsid w:val="528D1852"/>
    <w:rsid w:val="54F43056"/>
    <w:rsid w:val="5618114C"/>
    <w:rsid w:val="56660269"/>
    <w:rsid w:val="5808024E"/>
    <w:rsid w:val="58A13F6B"/>
    <w:rsid w:val="59826244"/>
    <w:rsid w:val="5B947442"/>
    <w:rsid w:val="5BF4091B"/>
    <w:rsid w:val="5C3B12A9"/>
    <w:rsid w:val="5C846B4A"/>
    <w:rsid w:val="5CCD537D"/>
    <w:rsid w:val="5D8764E9"/>
    <w:rsid w:val="5E996A14"/>
    <w:rsid w:val="60E53E7A"/>
    <w:rsid w:val="6142577F"/>
    <w:rsid w:val="633737C3"/>
    <w:rsid w:val="661D1C23"/>
    <w:rsid w:val="673533A0"/>
    <w:rsid w:val="676A7852"/>
    <w:rsid w:val="68101B70"/>
    <w:rsid w:val="6AEB1A20"/>
    <w:rsid w:val="6B52734E"/>
    <w:rsid w:val="6C3C466D"/>
    <w:rsid w:val="6D3A1056"/>
    <w:rsid w:val="6EC868EA"/>
    <w:rsid w:val="6EDF073E"/>
    <w:rsid w:val="6EDF4F45"/>
    <w:rsid w:val="6F952C46"/>
    <w:rsid w:val="703A4BA3"/>
    <w:rsid w:val="70E61A7D"/>
    <w:rsid w:val="720873E2"/>
    <w:rsid w:val="739410AD"/>
    <w:rsid w:val="74661472"/>
    <w:rsid w:val="75772946"/>
    <w:rsid w:val="75BE16EE"/>
    <w:rsid w:val="764A23C4"/>
    <w:rsid w:val="76635464"/>
    <w:rsid w:val="787A603C"/>
    <w:rsid w:val="7B1D354F"/>
    <w:rsid w:val="7BF95585"/>
    <w:rsid w:val="7D395FCA"/>
    <w:rsid w:val="7FB13E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shiyunxin</cp:lastModifiedBy>
  <dcterms:modified xsi:type="dcterms:W3CDTF">2025-11-09T03:26:24Z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CVWMK6BW796A05HGRGR8PL057NZ0OAGREE0XNJDTXF8RTDLT6DBRPCJVFSUTPBRRXXM65OZ8ZHJD8PNJQFFT0F8O8RNMWHCBASOOQHB3CFB5623B8ABE4FEB0910E998480FAA1A</vt:lpwstr>
  </property>
  <property fmtid="{D5CDD505-2E9C-101B-9397-08002B2CF9AE}" pid="5" name="ICV">
    <vt:lpwstr>43D52BADC154480A91972C9A5E1239DD</vt:lpwstr>
  </property>
</Properties>
</file>