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杭银理财幸福99季添益1905期理财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杭银理财幸福99季添益1905期理财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TYG3M1905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3.2157%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3.6869%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4.4543%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-4.8522%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4.4681%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5.2086%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4.2849%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4.3069%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3.7782%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3.7757%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4.2054%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杭银理财幸福99季添益1905期理财B款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TYG3M1905B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3.2746%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2.9586%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3.7889%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-4.7529%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4.6099%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杭银理财幸福99季添益1905期理财C款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TYG3M1905C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1.5822%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3.1740%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3.7889%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4.6507%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-4.7220%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2025年11月12日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