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0C" w:rsidRDefault="002C1A0C">
      <w:pPr>
        <w:widowControl/>
        <w:jc w:val="left"/>
        <w:rPr>
          <w:rFonts w:ascii="宋体" w:eastAsia="宋体" w:hAnsi="宋体"/>
          <w:sz w:val="30"/>
        </w:rPr>
      </w:pPr>
    </w:p>
    <w:p w:rsidR="002C1A0C" w:rsidRDefault="002C1A0C">
      <w:pPr>
        <w:widowControl/>
        <w:jc w:val="left"/>
        <w:rPr>
          <w:rFonts w:ascii="宋体" w:eastAsia="宋体" w:hAnsi="宋体"/>
          <w:sz w:val="30"/>
        </w:rPr>
      </w:pPr>
    </w:p>
    <w:p w:rsidR="002C1A0C" w:rsidRDefault="002C1A0C">
      <w:pPr>
        <w:widowControl/>
        <w:jc w:val="left"/>
        <w:rPr>
          <w:rFonts w:ascii="宋体" w:eastAsia="宋体" w:hAnsi="宋体"/>
          <w:sz w:val="30"/>
        </w:rPr>
      </w:pPr>
    </w:p>
    <w:p w:rsidR="002C1A0C" w:rsidRDefault="002C1A0C">
      <w:pPr>
        <w:widowControl/>
        <w:jc w:val="left"/>
        <w:rPr>
          <w:rFonts w:ascii="宋体" w:eastAsia="宋体" w:hAnsi="宋体"/>
          <w:sz w:val="30"/>
        </w:rPr>
      </w:pPr>
    </w:p>
    <w:p w:rsidR="002C1A0C" w:rsidRDefault="00864859">
      <w:pPr>
        <w:widowControl/>
        <w:spacing w:line="800" w:lineRule="exact"/>
        <w:jc w:val="center"/>
        <w:rPr>
          <w:rFonts w:ascii="宋体" w:eastAsia="宋体" w:hAnsi="宋体"/>
          <w:b/>
          <w:sz w:val="52"/>
        </w:rPr>
      </w:pPr>
      <w:r>
        <w:rPr>
          <w:rFonts w:ascii="宋体" w:eastAsia="宋体" w:hAnsi="宋体" w:hint="eastAsia"/>
          <w:b/>
          <w:sz w:val="52"/>
        </w:rPr>
        <w:t>博时荣享回报灵活配置定期开放混合型证券投资基金</w:t>
      </w:r>
    </w:p>
    <w:p w:rsidR="002C1A0C" w:rsidRDefault="00864859">
      <w:pPr>
        <w:widowControl/>
        <w:spacing w:line="800" w:lineRule="exact"/>
        <w:jc w:val="center"/>
        <w:rPr>
          <w:rFonts w:ascii="宋体" w:eastAsia="宋体" w:hAnsi="宋体"/>
          <w:b/>
          <w:sz w:val="52"/>
        </w:rPr>
      </w:pPr>
      <w:r>
        <w:rPr>
          <w:rFonts w:ascii="宋体" w:eastAsia="宋体" w:hAnsi="宋体" w:hint="eastAsia"/>
          <w:b/>
          <w:sz w:val="52"/>
        </w:rPr>
        <w:t>更新招募说明书</w:t>
      </w:r>
    </w:p>
    <w:p w:rsidR="002C1A0C" w:rsidRDefault="002C1A0C">
      <w:pPr>
        <w:widowControl/>
        <w:spacing w:line="800" w:lineRule="exact"/>
        <w:jc w:val="center"/>
        <w:rPr>
          <w:rFonts w:ascii="宋体" w:eastAsia="宋体" w:hAnsi="宋体"/>
          <w:b/>
          <w:sz w:val="52"/>
        </w:rPr>
      </w:pPr>
    </w:p>
    <w:p w:rsidR="002C1A0C" w:rsidRDefault="002C1A0C">
      <w:pPr>
        <w:widowControl/>
        <w:spacing w:line="800" w:lineRule="exact"/>
        <w:jc w:val="center"/>
        <w:rPr>
          <w:rFonts w:ascii="宋体" w:eastAsia="宋体" w:hAnsi="宋体"/>
          <w:b/>
          <w:sz w:val="52"/>
        </w:rPr>
      </w:pPr>
    </w:p>
    <w:p w:rsidR="002C1A0C" w:rsidRDefault="002C1A0C">
      <w:pPr>
        <w:widowControl/>
        <w:spacing w:line="800" w:lineRule="exact"/>
        <w:jc w:val="center"/>
        <w:rPr>
          <w:rFonts w:ascii="宋体" w:eastAsia="宋体" w:hAnsi="宋体"/>
          <w:b/>
          <w:sz w:val="52"/>
        </w:rPr>
      </w:pPr>
    </w:p>
    <w:p w:rsidR="002C1A0C" w:rsidRDefault="002C1A0C">
      <w:pPr>
        <w:widowControl/>
        <w:spacing w:line="800" w:lineRule="exact"/>
        <w:jc w:val="center"/>
        <w:rPr>
          <w:rFonts w:ascii="宋体" w:eastAsia="宋体" w:hAnsi="宋体"/>
          <w:b/>
          <w:sz w:val="52"/>
        </w:rPr>
      </w:pPr>
    </w:p>
    <w:p w:rsidR="002C1A0C" w:rsidRDefault="002C1A0C">
      <w:pPr>
        <w:widowControl/>
        <w:spacing w:line="800" w:lineRule="exact"/>
        <w:jc w:val="center"/>
        <w:rPr>
          <w:rFonts w:ascii="宋体" w:eastAsia="宋体" w:hAnsi="宋体"/>
          <w:b/>
          <w:sz w:val="52"/>
        </w:rPr>
      </w:pPr>
    </w:p>
    <w:p w:rsidR="002C1A0C" w:rsidRDefault="002C1A0C">
      <w:pPr>
        <w:widowControl/>
        <w:spacing w:line="800" w:lineRule="exact"/>
        <w:jc w:val="center"/>
        <w:rPr>
          <w:rFonts w:ascii="宋体" w:eastAsia="宋体" w:hAnsi="宋体"/>
          <w:b/>
          <w:sz w:val="52"/>
        </w:rPr>
      </w:pPr>
    </w:p>
    <w:p w:rsidR="002C1A0C" w:rsidRDefault="002C1A0C">
      <w:pPr>
        <w:widowControl/>
        <w:spacing w:line="800" w:lineRule="exact"/>
        <w:jc w:val="center"/>
        <w:rPr>
          <w:rFonts w:ascii="宋体" w:eastAsia="宋体" w:hAnsi="宋体"/>
          <w:b/>
          <w:sz w:val="52"/>
        </w:rPr>
      </w:pPr>
    </w:p>
    <w:p w:rsidR="002C1A0C" w:rsidRDefault="002C1A0C">
      <w:pPr>
        <w:widowControl/>
        <w:spacing w:line="800" w:lineRule="exact"/>
        <w:jc w:val="center"/>
        <w:rPr>
          <w:rFonts w:ascii="宋体" w:eastAsia="宋体" w:hAnsi="宋体"/>
          <w:b/>
          <w:sz w:val="52"/>
        </w:rPr>
      </w:pPr>
    </w:p>
    <w:p w:rsidR="002C1A0C" w:rsidRDefault="00864859">
      <w:pPr>
        <w:widowControl/>
        <w:spacing w:line="800" w:lineRule="exact"/>
        <w:jc w:val="center"/>
        <w:rPr>
          <w:rFonts w:ascii="宋体" w:eastAsia="宋体" w:hAnsi="宋体"/>
          <w:b/>
          <w:sz w:val="30"/>
        </w:rPr>
      </w:pPr>
      <w:r>
        <w:rPr>
          <w:rFonts w:ascii="宋体" w:eastAsia="宋体" w:hAnsi="宋体" w:hint="eastAsia"/>
          <w:b/>
          <w:sz w:val="30"/>
        </w:rPr>
        <w:t>基金管理人</w:t>
      </w:r>
      <w:r>
        <w:rPr>
          <w:rFonts w:ascii="宋体" w:eastAsia="宋体" w:hAnsi="宋体"/>
          <w:b/>
          <w:sz w:val="30"/>
        </w:rPr>
        <w:t>: 博时基金管理有限公司</w:t>
      </w:r>
    </w:p>
    <w:p w:rsidR="002C1A0C" w:rsidRDefault="00864859">
      <w:pPr>
        <w:widowControl/>
        <w:spacing w:line="800" w:lineRule="exact"/>
        <w:jc w:val="center"/>
        <w:rPr>
          <w:rFonts w:ascii="宋体" w:eastAsia="宋体" w:hAnsi="宋体" w:cstheme="majorBidi"/>
          <w:b/>
          <w:bCs/>
          <w:sz w:val="30"/>
          <w:szCs w:val="32"/>
        </w:rPr>
      </w:pPr>
      <w:r>
        <w:rPr>
          <w:rFonts w:ascii="宋体" w:eastAsia="宋体" w:hAnsi="宋体" w:hint="eastAsia"/>
          <w:b/>
          <w:sz w:val="30"/>
        </w:rPr>
        <w:t>基金托管人</w:t>
      </w:r>
      <w:r>
        <w:rPr>
          <w:rFonts w:ascii="宋体" w:eastAsia="宋体" w:hAnsi="宋体"/>
          <w:b/>
          <w:sz w:val="30"/>
        </w:rPr>
        <w:t>: 中国工商银行股份有限公司</w:t>
      </w:r>
      <w:r>
        <w:rPr>
          <w:rFonts w:ascii="宋体" w:eastAsia="宋体" w:hAnsi="宋体"/>
          <w:b/>
          <w:sz w:val="30"/>
        </w:rPr>
        <w:br w:type="page"/>
      </w:r>
    </w:p>
    <w:p w:rsidR="002C1A0C" w:rsidRDefault="00864859">
      <w:pPr>
        <w:pStyle w:val="2"/>
        <w:jc w:val="center"/>
        <w:rPr>
          <w:rFonts w:ascii="宋体" w:eastAsia="宋体" w:hAnsi="宋体"/>
          <w:sz w:val="30"/>
        </w:rPr>
      </w:pPr>
      <w:bookmarkStart w:id="0" w:name="_Toc27511762"/>
      <w:r>
        <w:rPr>
          <w:rFonts w:ascii="宋体" w:eastAsia="宋体" w:hAnsi="宋体" w:hint="eastAsia"/>
          <w:sz w:val="30"/>
        </w:rPr>
        <w:lastRenderedPageBreak/>
        <w:t>【重要提示】</w:t>
      </w:r>
      <w:bookmarkEnd w:id="0"/>
    </w:p>
    <w:p w:rsidR="002C1A0C" w:rsidRDefault="00864859">
      <w:pPr>
        <w:pStyle w:val="a5"/>
        <w:spacing w:before="0" w:beforeAutospacing="0" w:after="0" w:afterAutospacing="0" w:line="360" w:lineRule="auto"/>
        <w:ind w:firstLine="420"/>
        <w:rPr>
          <w:sz w:val="21"/>
          <w:szCs w:val="21"/>
        </w:rPr>
      </w:pPr>
      <w:r>
        <w:rPr>
          <w:rFonts w:hint="eastAsia"/>
          <w:sz w:val="21"/>
          <w:szCs w:val="21"/>
        </w:rPr>
        <w:t>1、本基金根据</w:t>
      </w:r>
      <w:bookmarkStart w:id="1" w:name="field_2343_approveddate_1"/>
      <w:r>
        <w:rPr>
          <w:sz w:val="21"/>
          <w:szCs w:val="21"/>
        </w:rPr>
        <w:t>2018年03月08日</w:t>
      </w:r>
      <w:bookmarkEnd w:id="1"/>
      <w:r>
        <w:rPr>
          <w:rFonts w:hint="eastAsia"/>
          <w:sz w:val="21"/>
          <w:szCs w:val="21"/>
        </w:rPr>
        <w:t>中国证券监督管理委员会《关于准予</w:t>
      </w:r>
      <w:bookmarkStart w:id="2" w:name="field_49_productfullname_1"/>
      <w:r>
        <w:rPr>
          <w:rFonts w:hint="eastAsia"/>
          <w:sz w:val="21"/>
          <w:szCs w:val="21"/>
        </w:rPr>
        <w:t>博时荣享回报灵活配置定期开放混合型证券投资基金</w:t>
      </w:r>
      <w:bookmarkEnd w:id="2"/>
      <w:r>
        <w:rPr>
          <w:rFonts w:hint="eastAsia"/>
          <w:sz w:val="21"/>
          <w:szCs w:val="21"/>
        </w:rPr>
        <w:t>注册的批复》（证监许可</w:t>
      </w:r>
      <w:bookmarkStart w:id="3" w:name="field_2343_lotnumber_1"/>
      <w:r>
        <w:rPr>
          <w:sz w:val="21"/>
          <w:szCs w:val="21"/>
        </w:rPr>
        <w:t>[2018]413</w:t>
      </w:r>
      <w:bookmarkEnd w:id="3"/>
      <w:r>
        <w:rPr>
          <w:rFonts w:hint="eastAsia"/>
          <w:sz w:val="21"/>
          <w:szCs w:val="21"/>
        </w:rPr>
        <w:t>号）进行募集。</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基金管理人依照恪尽职守、诚实信用、谨慎勤勉的原则管理和运用基金财产，但不保证基金一定盈利，也不保证最低收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3、投资有风险，投资者认购（或申购）基金份额时应认真阅读基金合同、本招募说明书</w:t>
      </w:r>
      <w:r w:rsidR="00671E6F">
        <w:rPr>
          <w:rFonts w:hint="eastAsia"/>
          <w:sz w:val="21"/>
          <w:szCs w:val="21"/>
        </w:rPr>
        <w:t>、基金产品资料概要</w:t>
      </w:r>
      <w:r>
        <w:rPr>
          <w:rFonts w:hint="eastAsia"/>
          <w:sz w:val="21"/>
          <w:szCs w:val="21"/>
        </w:rPr>
        <w:t xml:space="preserve">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本基金是混合型基金，其预期收益及风险水平高于货币市场基金、债券型基金，低于股票型基金，属于中高预期风险、中高预期收益的基金品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本基金的一部分资产将可能投资于中小企业私募债券。由于中小企业私募债券发行门槛低，投资过程中的信用风险也相应增加，有可能出现债券到期后，企业不能按时清偿债务，或者在存续期内评级被下调的风险。中小企业私募债券不能在交易所上市交易，而是通过上证所固定收益证券综合电子平台及深交所综合协议交易平台，或证券公司进行转让，同时，交易所按照申报时间先后顺序对私募债券转让进行确认，对导致私募债券投资者超过200人的转让不予确认。因此，本基金在投资中小企业私募债券的过程中，面临着流动性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本基金基金资产投资于港股，会面临港股通机制下因投资环境、投资标的、市场制度以及交易规则等差异带来的特有风险，包括港股市场股价波动较大的风险（港股市场实行T+0</w:t>
      </w:r>
      <w:r>
        <w:rPr>
          <w:rFonts w:hint="eastAsia"/>
          <w:sz w:val="21"/>
          <w:szCs w:val="21"/>
        </w:rPr>
        <w:lastRenderedPageBreak/>
        <w:t xml:space="preserve">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可根据投资策略需要或不同配置地市场环境的变化，选择将部分基金资产投资于港股或选择不将基金资产投资于港股，基金资产并非必然投资港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本基金的业绩比较基准为：沪深300指数收益率*50%+恒生综合指数收益率×20%+中债综合财富(总值)指数收益率*30%，但本基金的收益水平有可能不能达到或超过同期的目标收益率水平，投资者面临获得低于目标收益率甚至亏损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6、基金不同于银行储蓄与债券，基金投资者有可能获得较高的收益，也有可能损失本金。投资有风险，投资者在进行投资决策前，请仔细阅读本基金的招募说明书及《基金合同》。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7、基金的过往业绩并不预示其未来表现。基金管理人管理的其他基金的业绩并不构成新基金业绩表现的保证。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8、本基金的封闭运作期间，基金份额持有人不能申购、赎回、转换基金份额，因此，若基金份额持有人错过某一开放期而未能赎回，其份额将自动转入下一封闭期，至少到下一开放期方可赎回。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9、基金管理人提醒投资人基金投资的“买者自负”原则，在投资人作出投资决策后，基金运营状况与基金净值变化引致的投资风险，由投资人自行负责。 </w:t>
      </w:r>
    </w:p>
    <w:p w:rsidR="00586280" w:rsidRDefault="00586280">
      <w:pPr>
        <w:pStyle w:val="a5"/>
        <w:spacing w:before="0" w:beforeAutospacing="0" w:after="0" w:afterAutospacing="0" w:line="360" w:lineRule="auto"/>
        <w:ind w:firstLine="420"/>
        <w:rPr>
          <w:sz w:val="21"/>
          <w:szCs w:val="21"/>
        </w:rPr>
      </w:pPr>
      <w:r>
        <w:rPr>
          <w:rFonts w:hint="eastAsia"/>
          <w:sz w:val="21"/>
          <w:szCs w:val="21"/>
        </w:rPr>
        <w:t>10</w:t>
      </w:r>
      <w:r w:rsidRPr="00586280">
        <w:rPr>
          <w:rFonts w:hint="eastAsia"/>
          <w:sz w:val="21"/>
          <w:szCs w:val="21"/>
        </w:rPr>
        <w:t>、</w:t>
      </w:r>
      <w:r>
        <w:rPr>
          <w:rFonts w:hint="eastAsia"/>
          <w:sz w:val="21"/>
          <w:szCs w:val="21"/>
        </w:rPr>
        <w:t>本招募说明书</w:t>
      </w:r>
      <w:r w:rsidRPr="00586280">
        <w:rPr>
          <w:rFonts w:hint="eastAsia"/>
          <w:sz w:val="21"/>
          <w:szCs w:val="21"/>
        </w:rPr>
        <w:t>关于基金产品资料概要的编制、披露及更新等内容，将不晚于2020年9月1日起执行。</w:t>
      </w:r>
    </w:p>
    <w:p w:rsidR="002C1A0C" w:rsidRDefault="00864859">
      <w:pPr>
        <w:pStyle w:val="a5"/>
        <w:spacing w:before="0" w:beforeAutospacing="0" w:after="0" w:afterAutospacing="0" w:line="360" w:lineRule="auto"/>
        <w:ind w:firstLine="420"/>
        <w:rPr>
          <w:sz w:val="21"/>
          <w:szCs w:val="21"/>
        </w:rPr>
      </w:pPr>
      <w:r>
        <w:rPr>
          <w:rFonts w:hint="eastAsia"/>
          <w:sz w:val="21"/>
          <w:szCs w:val="21"/>
        </w:rPr>
        <w:t>本招募说明书（更新）所载内容截止日</w:t>
      </w:r>
      <w:bookmarkStart w:id="4" w:name="field_2343_infoendday_1"/>
      <w:r>
        <w:rPr>
          <w:sz w:val="21"/>
          <w:szCs w:val="21"/>
        </w:rPr>
        <w:t>2019年11月25日</w:t>
      </w:r>
      <w:bookmarkEnd w:id="4"/>
      <w:r>
        <w:rPr>
          <w:rFonts w:hint="eastAsia"/>
          <w:sz w:val="21"/>
          <w:szCs w:val="21"/>
        </w:rPr>
        <w:t>，有关财务数据和净值表现截止日为</w:t>
      </w:r>
      <w:bookmarkStart w:id="5" w:name="field_2343_financeendday_1"/>
      <w:r>
        <w:rPr>
          <w:sz w:val="21"/>
          <w:szCs w:val="21"/>
        </w:rPr>
        <w:t>2019年09月30日</w:t>
      </w:r>
      <w:bookmarkEnd w:id="5"/>
      <w:r>
        <w:rPr>
          <w:rFonts w:hint="eastAsia"/>
          <w:sz w:val="21"/>
          <w:szCs w:val="21"/>
        </w:rPr>
        <w:t xml:space="preserve">（财务数据未经审计）。 </w:t>
      </w:r>
    </w:p>
    <w:p w:rsidR="002C1A0C" w:rsidRDefault="00864859">
      <w:pPr>
        <w:pStyle w:val="2"/>
        <w:jc w:val="center"/>
        <w:rPr>
          <w:rFonts w:ascii="宋体" w:eastAsia="宋体" w:hAnsi="宋体"/>
          <w:sz w:val="30"/>
        </w:rPr>
      </w:pPr>
      <w:r>
        <w:rPr>
          <w:rFonts w:ascii="宋体" w:eastAsia="宋体" w:hAnsi="宋体"/>
          <w:sz w:val="30"/>
        </w:rPr>
        <w:br w:type="page"/>
      </w:r>
    </w:p>
    <w:p w:rsidR="002C1A0C" w:rsidRDefault="00864859">
      <w:pPr>
        <w:widowControl/>
        <w:jc w:val="center"/>
        <w:rPr>
          <w:rFonts w:ascii="宋体" w:eastAsia="宋体" w:hAnsi="宋体"/>
          <w:b/>
          <w:sz w:val="28"/>
        </w:rPr>
      </w:pPr>
      <w:r>
        <w:rPr>
          <w:rFonts w:ascii="宋体" w:eastAsia="宋体" w:hAnsi="宋体" w:hint="eastAsia"/>
          <w:b/>
          <w:sz w:val="28"/>
        </w:rPr>
        <w:lastRenderedPageBreak/>
        <w:t>目录</w:t>
      </w:r>
    </w:p>
    <w:p w:rsidR="002C1A0C" w:rsidRDefault="00864859">
      <w:pPr>
        <w:pStyle w:val="20"/>
        <w:tabs>
          <w:tab w:val="right" w:leader="dot" w:pos="8290"/>
        </w:tabs>
        <w:spacing w:line="360" w:lineRule="auto"/>
        <w:rPr>
          <w:noProof/>
        </w:rPr>
      </w:pPr>
      <w:r>
        <w:rPr>
          <w:rFonts w:ascii="宋体" w:eastAsia="宋体" w:hAnsi="宋体"/>
        </w:rPr>
        <w:fldChar w:fldCharType="begin"/>
      </w:r>
      <w:r>
        <w:rPr>
          <w:rFonts w:ascii="宋体" w:eastAsia="宋体" w:hAnsi="宋体"/>
        </w:rPr>
        <w:instrText xml:space="preserve"> TOC \o "1-2" \f 8 \h \t "2" </w:instrText>
      </w:r>
      <w:r>
        <w:rPr>
          <w:rFonts w:ascii="宋体" w:eastAsia="宋体" w:hAnsi="宋体"/>
        </w:rPr>
        <w:fldChar w:fldCharType="separate"/>
      </w:r>
      <w:hyperlink w:anchor="_Toc27511762" w:history="1">
        <w:r>
          <w:rPr>
            <w:rStyle w:val="a8"/>
            <w:rFonts w:ascii="宋体" w:eastAsia="宋体" w:hAnsi="宋体" w:hint="eastAsia"/>
            <w:noProof/>
          </w:rPr>
          <w:t>【重要提示】</w:t>
        </w:r>
        <w:r>
          <w:rPr>
            <w:noProof/>
          </w:rPr>
          <w:tab/>
        </w:r>
        <w:r>
          <w:rPr>
            <w:noProof/>
          </w:rPr>
          <w:fldChar w:fldCharType="begin"/>
        </w:r>
        <w:r>
          <w:rPr>
            <w:noProof/>
          </w:rPr>
          <w:instrText xml:space="preserve"> PAGEREF _Toc27511762 \h </w:instrText>
        </w:r>
        <w:r>
          <w:rPr>
            <w:noProof/>
          </w:rPr>
        </w:r>
        <w:r>
          <w:rPr>
            <w:noProof/>
          </w:rPr>
          <w:fldChar w:fldCharType="separate"/>
        </w:r>
        <w:r w:rsidR="0008418A">
          <w:rPr>
            <w:noProof/>
          </w:rPr>
          <w:t>2</w:t>
        </w:r>
        <w:r>
          <w:rPr>
            <w:noProof/>
          </w:rPr>
          <w:fldChar w:fldCharType="end"/>
        </w:r>
      </w:hyperlink>
    </w:p>
    <w:p w:rsidR="002C1A0C" w:rsidRDefault="00F4067C">
      <w:pPr>
        <w:pStyle w:val="20"/>
        <w:tabs>
          <w:tab w:val="right" w:leader="dot" w:pos="8290"/>
        </w:tabs>
        <w:spacing w:line="360" w:lineRule="auto"/>
        <w:rPr>
          <w:noProof/>
        </w:rPr>
      </w:pPr>
      <w:hyperlink w:anchor="_Toc27511763" w:history="1">
        <w:r w:rsidR="00864859">
          <w:rPr>
            <w:rStyle w:val="a8"/>
            <w:rFonts w:ascii="宋体" w:eastAsia="宋体" w:hAnsi="宋体" w:hint="eastAsia"/>
            <w:noProof/>
          </w:rPr>
          <w:t>第一部分</w:t>
        </w:r>
        <w:r w:rsidR="00864859">
          <w:rPr>
            <w:rStyle w:val="a8"/>
            <w:rFonts w:ascii="宋体" w:eastAsia="宋体" w:hAnsi="宋体"/>
            <w:noProof/>
          </w:rPr>
          <w:t xml:space="preserve">  </w:t>
        </w:r>
        <w:r w:rsidR="00864859">
          <w:rPr>
            <w:rStyle w:val="a8"/>
            <w:rFonts w:ascii="宋体" w:eastAsia="宋体" w:hAnsi="宋体" w:hint="eastAsia"/>
            <w:noProof/>
          </w:rPr>
          <w:t>绪言</w:t>
        </w:r>
        <w:r w:rsidR="00864859">
          <w:rPr>
            <w:noProof/>
          </w:rPr>
          <w:tab/>
        </w:r>
        <w:r w:rsidR="00864859">
          <w:rPr>
            <w:noProof/>
          </w:rPr>
          <w:fldChar w:fldCharType="begin"/>
        </w:r>
        <w:r w:rsidR="00864859">
          <w:rPr>
            <w:noProof/>
          </w:rPr>
          <w:instrText xml:space="preserve"> PAGEREF _Toc27511763 \h </w:instrText>
        </w:r>
        <w:r w:rsidR="00864859">
          <w:rPr>
            <w:noProof/>
          </w:rPr>
        </w:r>
        <w:r w:rsidR="00864859">
          <w:rPr>
            <w:noProof/>
          </w:rPr>
          <w:fldChar w:fldCharType="separate"/>
        </w:r>
        <w:r w:rsidR="0008418A">
          <w:rPr>
            <w:noProof/>
          </w:rPr>
          <w:t>5</w:t>
        </w:r>
        <w:r w:rsidR="00864859">
          <w:rPr>
            <w:noProof/>
          </w:rPr>
          <w:fldChar w:fldCharType="end"/>
        </w:r>
      </w:hyperlink>
    </w:p>
    <w:p w:rsidR="002C1A0C" w:rsidRDefault="00F4067C">
      <w:pPr>
        <w:pStyle w:val="20"/>
        <w:tabs>
          <w:tab w:val="right" w:leader="dot" w:pos="8290"/>
        </w:tabs>
        <w:spacing w:line="360" w:lineRule="auto"/>
        <w:rPr>
          <w:noProof/>
        </w:rPr>
      </w:pPr>
      <w:hyperlink w:anchor="_Toc27511764" w:history="1">
        <w:r w:rsidR="00864859">
          <w:rPr>
            <w:rStyle w:val="a8"/>
            <w:rFonts w:ascii="宋体" w:eastAsia="宋体" w:hAnsi="宋体" w:hint="eastAsia"/>
            <w:noProof/>
          </w:rPr>
          <w:t>第二部分</w:t>
        </w:r>
        <w:r w:rsidR="00864859">
          <w:rPr>
            <w:rStyle w:val="a8"/>
            <w:rFonts w:ascii="宋体" w:eastAsia="宋体" w:hAnsi="宋体"/>
            <w:noProof/>
          </w:rPr>
          <w:t xml:space="preserve">  </w:t>
        </w:r>
        <w:r w:rsidR="00864859">
          <w:rPr>
            <w:rStyle w:val="a8"/>
            <w:rFonts w:ascii="宋体" w:eastAsia="宋体" w:hAnsi="宋体" w:hint="eastAsia"/>
            <w:noProof/>
          </w:rPr>
          <w:t>释义</w:t>
        </w:r>
        <w:r w:rsidR="00864859">
          <w:rPr>
            <w:noProof/>
          </w:rPr>
          <w:tab/>
        </w:r>
        <w:r w:rsidR="00864859">
          <w:rPr>
            <w:noProof/>
          </w:rPr>
          <w:fldChar w:fldCharType="begin"/>
        </w:r>
        <w:r w:rsidR="00864859">
          <w:rPr>
            <w:noProof/>
          </w:rPr>
          <w:instrText xml:space="preserve"> PAGEREF _Toc27511764 \h </w:instrText>
        </w:r>
        <w:r w:rsidR="00864859">
          <w:rPr>
            <w:noProof/>
          </w:rPr>
        </w:r>
        <w:r w:rsidR="00864859">
          <w:rPr>
            <w:noProof/>
          </w:rPr>
          <w:fldChar w:fldCharType="separate"/>
        </w:r>
        <w:r w:rsidR="0008418A">
          <w:rPr>
            <w:noProof/>
          </w:rPr>
          <w:t>6</w:t>
        </w:r>
        <w:r w:rsidR="00864859">
          <w:rPr>
            <w:noProof/>
          </w:rPr>
          <w:fldChar w:fldCharType="end"/>
        </w:r>
      </w:hyperlink>
    </w:p>
    <w:p w:rsidR="002C1A0C" w:rsidRDefault="00F4067C">
      <w:pPr>
        <w:pStyle w:val="20"/>
        <w:tabs>
          <w:tab w:val="right" w:leader="dot" w:pos="8290"/>
        </w:tabs>
        <w:spacing w:line="360" w:lineRule="auto"/>
        <w:rPr>
          <w:noProof/>
        </w:rPr>
      </w:pPr>
      <w:hyperlink w:anchor="_Toc27511765" w:history="1">
        <w:r w:rsidR="00864859">
          <w:rPr>
            <w:rStyle w:val="a8"/>
            <w:rFonts w:ascii="宋体" w:eastAsia="宋体" w:hAnsi="宋体" w:hint="eastAsia"/>
            <w:noProof/>
          </w:rPr>
          <w:t>第三部分</w:t>
        </w:r>
        <w:r w:rsidR="00864859">
          <w:rPr>
            <w:rStyle w:val="a8"/>
            <w:rFonts w:ascii="宋体" w:eastAsia="宋体" w:hAnsi="宋体"/>
            <w:noProof/>
          </w:rPr>
          <w:t xml:space="preserve">  </w:t>
        </w:r>
        <w:r w:rsidR="00864859">
          <w:rPr>
            <w:rStyle w:val="a8"/>
            <w:rFonts w:ascii="宋体" w:eastAsia="宋体" w:hAnsi="宋体" w:hint="eastAsia"/>
            <w:noProof/>
          </w:rPr>
          <w:t>基金管理人</w:t>
        </w:r>
        <w:r w:rsidR="00864859">
          <w:rPr>
            <w:noProof/>
          </w:rPr>
          <w:tab/>
        </w:r>
        <w:r w:rsidR="00864859">
          <w:rPr>
            <w:noProof/>
          </w:rPr>
          <w:fldChar w:fldCharType="begin"/>
        </w:r>
        <w:r w:rsidR="00864859">
          <w:rPr>
            <w:noProof/>
          </w:rPr>
          <w:instrText xml:space="preserve"> PAGEREF _Toc27511765 \h </w:instrText>
        </w:r>
        <w:r w:rsidR="00864859">
          <w:rPr>
            <w:noProof/>
          </w:rPr>
        </w:r>
        <w:r w:rsidR="00864859">
          <w:rPr>
            <w:noProof/>
          </w:rPr>
          <w:fldChar w:fldCharType="separate"/>
        </w:r>
        <w:r w:rsidR="0008418A">
          <w:rPr>
            <w:noProof/>
          </w:rPr>
          <w:t>11</w:t>
        </w:r>
        <w:r w:rsidR="00864859">
          <w:rPr>
            <w:noProof/>
          </w:rPr>
          <w:fldChar w:fldCharType="end"/>
        </w:r>
      </w:hyperlink>
    </w:p>
    <w:p w:rsidR="002C1A0C" w:rsidRDefault="00F4067C">
      <w:pPr>
        <w:pStyle w:val="20"/>
        <w:tabs>
          <w:tab w:val="right" w:leader="dot" w:pos="8290"/>
        </w:tabs>
        <w:spacing w:line="360" w:lineRule="auto"/>
        <w:rPr>
          <w:noProof/>
        </w:rPr>
      </w:pPr>
      <w:hyperlink w:anchor="_Toc27511766" w:history="1">
        <w:r w:rsidR="00864859">
          <w:rPr>
            <w:rStyle w:val="a8"/>
            <w:rFonts w:ascii="宋体" w:eastAsia="宋体" w:hAnsi="宋体" w:hint="eastAsia"/>
            <w:noProof/>
          </w:rPr>
          <w:t>第四部分</w:t>
        </w:r>
        <w:r w:rsidR="00864859">
          <w:rPr>
            <w:rStyle w:val="a8"/>
            <w:rFonts w:ascii="宋体" w:eastAsia="宋体" w:hAnsi="宋体"/>
            <w:noProof/>
          </w:rPr>
          <w:t xml:space="preserve">  </w:t>
        </w:r>
        <w:r w:rsidR="00864859">
          <w:rPr>
            <w:rStyle w:val="a8"/>
            <w:rFonts w:ascii="宋体" w:eastAsia="宋体" w:hAnsi="宋体" w:hint="eastAsia"/>
            <w:noProof/>
          </w:rPr>
          <w:t>基金托管人</w:t>
        </w:r>
        <w:r w:rsidR="00864859">
          <w:rPr>
            <w:noProof/>
          </w:rPr>
          <w:tab/>
        </w:r>
        <w:r w:rsidR="00864859">
          <w:rPr>
            <w:noProof/>
          </w:rPr>
          <w:fldChar w:fldCharType="begin"/>
        </w:r>
        <w:r w:rsidR="00864859">
          <w:rPr>
            <w:noProof/>
          </w:rPr>
          <w:instrText xml:space="preserve"> PAGEREF _Toc27511766 \h </w:instrText>
        </w:r>
        <w:r w:rsidR="00864859">
          <w:rPr>
            <w:noProof/>
          </w:rPr>
        </w:r>
        <w:r w:rsidR="00864859">
          <w:rPr>
            <w:noProof/>
          </w:rPr>
          <w:fldChar w:fldCharType="separate"/>
        </w:r>
        <w:r w:rsidR="0008418A">
          <w:rPr>
            <w:noProof/>
          </w:rPr>
          <w:t>26</w:t>
        </w:r>
        <w:r w:rsidR="00864859">
          <w:rPr>
            <w:noProof/>
          </w:rPr>
          <w:fldChar w:fldCharType="end"/>
        </w:r>
      </w:hyperlink>
    </w:p>
    <w:p w:rsidR="002C1A0C" w:rsidRDefault="00F4067C">
      <w:pPr>
        <w:pStyle w:val="20"/>
        <w:tabs>
          <w:tab w:val="right" w:leader="dot" w:pos="8290"/>
        </w:tabs>
        <w:spacing w:line="360" w:lineRule="auto"/>
        <w:rPr>
          <w:noProof/>
        </w:rPr>
      </w:pPr>
      <w:hyperlink w:anchor="_Toc27511767" w:history="1">
        <w:r w:rsidR="00864859">
          <w:rPr>
            <w:rStyle w:val="a8"/>
            <w:rFonts w:ascii="宋体" w:eastAsia="宋体" w:hAnsi="宋体" w:hint="eastAsia"/>
            <w:noProof/>
          </w:rPr>
          <w:t>第五部分</w:t>
        </w:r>
        <w:r w:rsidR="00864859">
          <w:rPr>
            <w:rStyle w:val="a8"/>
            <w:rFonts w:ascii="宋体" w:eastAsia="宋体" w:hAnsi="宋体"/>
            <w:noProof/>
          </w:rPr>
          <w:t xml:space="preserve">  </w:t>
        </w:r>
        <w:r w:rsidR="00864859">
          <w:rPr>
            <w:rStyle w:val="a8"/>
            <w:rFonts w:ascii="宋体" w:eastAsia="宋体" w:hAnsi="宋体" w:hint="eastAsia"/>
            <w:noProof/>
          </w:rPr>
          <w:t>相关服务机构</w:t>
        </w:r>
        <w:r w:rsidR="00864859">
          <w:rPr>
            <w:noProof/>
          </w:rPr>
          <w:tab/>
        </w:r>
        <w:r w:rsidR="00864859">
          <w:rPr>
            <w:noProof/>
          </w:rPr>
          <w:fldChar w:fldCharType="begin"/>
        </w:r>
        <w:r w:rsidR="00864859">
          <w:rPr>
            <w:noProof/>
          </w:rPr>
          <w:instrText xml:space="preserve"> PAGEREF _Toc27511767 \h </w:instrText>
        </w:r>
        <w:r w:rsidR="00864859">
          <w:rPr>
            <w:noProof/>
          </w:rPr>
        </w:r>
        <w:r w:rsidR="00864859">
          <w:rPr>
            <w:noProof/>
          </w:rPr>
          <w:fldChar w:fldCharType="separate"/>
        </w:r>
        <w:r w:rsidR="0008418A">
          <w:rPr>
            <w:noProof/>
          </w:rPr>
          <w:t>30</w:t>
        </w:r>
        <w:r w:rsidR="00864859">
          <w:rPr>
            <w:noProof/>
          </w:rPr>
          <w:fldChar w:fldCharType="end"/>
        </w:r>
      </w:hyperlink>
    </w:p>
    <w:p w:rsidR="002C1A0C" w:rsidRDefault="00F4067C">
      <w:pPr>
        <w:pStyle w:val="20"/>
        <w:tabs>
          <w:tab w:val="right" w:leader="dot" w:pos="8290"/>
        </w:tabs>
        <w:spacing w:line="360" w:lineRule="auto"/>
        <w:rPr>
          <w:noProof/>
        </w:rPr>
      </w:pPr>
      <w:hyperlink w:anchor="_Toc27511768" w:history="1">
        <w:r w:rsidR="00864859">
          <w:rPr>
            <w:rStyle w:val="a8"/>
            <w:rFonts w:ascii="宋体" w:eastAsia="宋体" w:hAnsi="宋体" w:hint="eastAsia"/>
            <w:noProof/>
          </w:rPr>
          <w:t>第六部分</w:t>
        </w:r>
        <w:r w:rsidR="00864859">
          <w:rPr>
            <w:rStyle w:val="a8"/>
            <w:rFonts w:ascii="宋体" w:eastAsia="宋体" w:hAnsi="宋体"/>
            <w:noProof/>
          </w:rPr>
          <w:t xml:space="preserve"> </w:t>
        </w:r>
        <w:r w:rsidR="00864859">
          <w:rPr>
            <w:rStyle w:val="a8"/>
            <w:rFonts w:ascii="宋体" w:eastAsia="宋体" w:hAnsi="宋体" w:hint="eastAsia"/>
            <w:noProof/>
          </w:rPr>
          <w:t>基金的募集与基金合同的生效</w:t>
        </w:r>
        <w:r w:rsidR="00864859">
          <w:rPr>
            <w:noProof/>
          </w:rPr>
          <w:tab/>
        </w:r>
        <w:r w:rsidR="00864859">
          <w:rPr>
            <w:noProof/>
          </w:rPr>
          <w:fldChar w:fldCharType="begin"/>
        </w:r>
        <w:r w:rsidR="00864859">
          <w:rPr>
            <w:noProof/>
          </w:rPr>
          <w:instrText xml:space="preserve"> PAGEREF _Toc27511768 \h </w:instrText>
        </w:r>
        <w:r w:rsidR="00864859">
          <w:rPr>
            <w:noProof/>
          </w:rPr>
        </w:r>
        <w:r w:rsidR="00864859">
          <w:rPr>
            <w:noProof/>
          </w:rPr>
          <w:fldChar w:fldCharType="separate"/>
        </w:r>
        <w:r w:rsidR="0008418A">
          <w:rPr>
            <w:noProof/>
          </w:rPr>
          <w:t>53</w:t>
        </w:r>
        <w:r w:rsidR="00864859">
          <w:rPr>
            <w:noProof/>
          </w:rPr>
          <w:fldChar w:fldCharType="end"/>
        </w:r>
      </w:hyperlink>
    </w:p>
    <w:p w:rsidR="002C1A0C" w:rsidRDefault="00F4067C">
      <w:pPr>
        <w:pStyle w:val="20"/>
        <w:tabs>
          <w:tab w:val="right" w:leader="dot" w:pos="8290"/>
        </w:tabs>
        <w:spacing w:line="360" w:lineRule="auto"/>
        <w:rPr>
          <w:noProof/>
        </w:rPr>
      </w:pPr>
      <w:hyperlink w:anchor="_Toc27511769" w:history="1">
        <w:r w:rsidR="00864859">
          <w:rPr>
            <w:rStyle w:val="a8"/>
            <w:rFonts w:ascii="宋体" w:eastAsia="宋体" w:hAnsi="宋体" w:hint="eastAsia"/>
            <w:noProof/>
          </w:rPr>
          <w:t>第七部分</w:t>
        </w:r>
        <w:r w:rsidR="00864859">
          <w:rPr>
            <w:rStyle w:val="a8"/>
            <w:rFonts w:ascii="宋体" w:eastAsia="宋体" w:hAnsi="宋体"/>
            <w:noProof/>
          </w:rPr>
          <w:t xml:space="preserve">  </w:t>
        </w:r>
        <w:r w:rsidR="00864859">
          <w:rPr>
            <w:rStyle w:val="a8"/>
            <w:rFonts w:ascii="宋体" w:eastAsia="宋体" w:hAnsi="宋体" w:hint="eastAsia"/>
            <w:noProof/>
          </w:rPr>
          <w:t>基金份额的申购与赎回</w:t>
        </w:r>
        <w:r w:rsidR="00864859">
          <w:rPr>
            <w:noProof/>
          </w:rPr>
          <w:tab/>
        </w:r>
        <w:r w:rsidR="00864859">
          <w:rPr>
            <w:noProof/>
          </w:rPr>
          <w:fldChar w:fldCharType="begin"/>
        </w:r>
        <w:r w:rsidR="00864859">
          <w:rPr>
            <w:noProof/>
          </w:rPr>
          <w:instrText xml:space="preserve"> PAGEREF _Toc27511769 \h </w:instrText>
        </w:r>
        <w:r w:rsidR="00864859">
          <w:rPr>
            <w:noProof/>
          </w:rPr>
        </w:r>
        <w:r w:rsidR="00864859">
          <w:rPr>
            <w:noProof/>
          </w:rPr>
          <w:fldChar w:fldCharType="separate"/>
        </w:r>
        <w:r w:rsidR="0008418A">
          <w:rPr>
            <w:noProof/>
          </w:rPr>
          <w:t>54</w:t>
        </w:r>
        <w:r w:rsidR="00864859">
          <w:rPr>
            <w:noProof/>
          </w:rPr>
          <w:fldChar w:fldCharType="end"/>
        </w:r>
      </w:hyperlink>
    </w:p>
    <w:p w:rsidR="002C1A0C" w:rsidRDefault="00F4067C">
      <w:pPr>
        <w:pStyle w:val="20"/>
        <w:tabs>
          <w:tab w:val="right" w:leader="dot" w:pos="8290"/>
        </w:tabs>
        <w:spacing w:line="360" w:lineRule="auto"/>
        <w:rPr>
          <w:noProof/>
        </w:rPr>
      </w:pPr>
      <w:hyperlink w:anchor="_Toc27511770" w:history="1">
        <w:r w:rsidR="00864859">
          <w:rPr>
            <w:rStyle w:val="a8"/>
            <w:rFonts w:ascii="宋体" w:eastAsia="宋体" w:hAnsi="宋体" w:hint="eastAsia"/>
            <w:noProof/>
          </w:rPr>
          <w:t>第八部分</w:t>
        </w:r>
        <w:r w:rsidR="00864859">
          <w:rPr>
            <w:rStyle w:val="a8"/>
            <w:rFonts w:ascii="宋体" w:eastAsia="宋体" w:hAnsi="宋体"/>
            <w:noProof/>
          </w:rPr>
          <w:t xml:space="preserve">  </w:t>
        </w:r>
        <w:r w:rsidR="00864859">
          <w:rPr>
            <w:rStyle w:val="a8"/>
            <w:rFonts w:ascii="宋体" w:eastAsia="宋体" w:hAnsi="宋体" w:hint="eastAsia"/>
            <w:noProof/>
          </w:rPr>
          <w:t>基金的投资</w:t>
        </w:r>
        <w:r w:rsidR="00864859">
          <w:rPr>
            <w:noProof/>
          </w:rPr>
          <w:tab/>
        </w:r>
        <w:r w:rsidR="00864859">
          <w:rPr>
            <w:noProof/>
          </w:rPr>
          <w:fldChar w:fldCharType="begin"/>
        </w:r>
        <w:r w:rsidR="00864859">
          <w:rPr>
            <w:noProof/>
          </w:rPr>
          <w:instrText xml:space="preserve"> PAGEREF _Toc27511770 \h </w:instrText>
        </w:r>
        <w:r w:rsidR="00864859">
          <w:rPr>
            <w:noProof/>
          </w:rPr>
        </w:r>
        <w:r w:rsidR="00864859">
          <w:rPr>
            <w:noProof/>
          </w:rPr>
          <w:fldChar w:fldCharType="separate"/>
        </w:r>
        <w:r w:rsidR="0008418A">
          <w:rPr>
            <w:noProof/>
          </w:rPr>
          <w:t>65</w:t>
        </w:r>
        <w:r w:rsidR="00864859">
          <w:rPr>
            <w:noProof/>
          </w:rPr>
          <w:fldChar w:fldCharType="end"/>
        </w:r>
      </w:hyperlink>
    </w:p>
    <w:p w:rsidR="002C1A0C" w:rsidRDefault="00F4067C">
      <w:pPr>
        <w:pStyle w:val="20"/>
        <w:tabs>
          <w:tab w:val="right" w:leader="dot" w:pos="8290"/>
        </w:tabs>
        <w:spacing w:line="360" w:lineRule="auto"/>
        <w:rPr>
          <w:noProof/>
        </w:rPr>
      </w:pPr>
      <w:hyperlink w:anchor="_Toc27511771" w:history="1">
        <w:r w:rsidR="00864859">
          <w:rPr>
            <w:rStyle w:val="a8"/>
            <w:rFonts w:ascii="宋体" w:eastAsia="宋体" w:hAnsi="宋体" w:hint="eastAsia"/>
            <w:noProof/>
          </w:rPr>
          <w:t>第九部分</w:t>
        </w:r>
        <w:r w:rsidR="00864859">
          <w:rPr>
            <w:rStyle w:val="a8"/>
            <w:rFonts w:ascii="宋体" w:eastAsia="宋体" w:hAnsi="宋体"/>
            <w:noProof/>
          </w:rPr>
          <w:t xml:space="preserve"> </w:t>
        </w:r>
        <w:r w:rsidR="00864859">
          <w:rPr>
            <w:rStyle w:val="a8"/>
            <w:rFonts w:ascii="宋体" w:eastAsia="宋体" w:hAnsi="宋体" w:hint="eastAsia"/>
            <w:noProof/>
          </w:rPr>
          <w:t>基金的业绩</w:t>
        </w:r>
        <w:r w:rsidR="00864859">
          <w:rPr>
            <w:noProof/>
          </w:rPr>
          <w:tab/>
        </w:r>
        <w:r w:rsidR="00864859">
          <w:rPr>
            <w:noProof/>
          </w:rPr>
          <w:fldChar w:fldCharType="begin"/>
        </w:r>
        <w:r w:rsidR="00864859">
          <w:rPr>
            <w:noProof/>
          </w:rPr>
          <w:instrText xml:space="preserve"> PAGEREF _Toc27511771 \h </w:instrText>
        </w:r>
        <w:r w:rsidR="00864859">
          <w:rPr>
            <w:noProof/>
          </w:rPr>
        </w:r>
        <w:r w:rsidR="00864859">
          <w:rPr>
            <w:noProof/>
          </w:rPr>
          <w:fldChar w:fldCharType="separate"/>
        </w:r>
        <w:r w:rsidR="0008418A">
          <w:rPr>
            <w:noProof/>
          </w:rPr>
          <w:t>77</w:t>
        </w:r>
        <w:r w:rsidR="00864859">
          <w:rPr>
            <w:noProof/>
          </w:rPr>
          <w:fldChar w:fldCharType="end"/>
        </w:r>
      </w:hyperlink>
    </w:p>
    <w:p w:rsidR="002C1A0C" w:rsidRDefault="00F4067C">
      <w:pPr>
        <w:pStyle w:val="20"/>
        <w:tabs>
          <w:tab w:val="right" w:leader="dot" w:pos="8290"/>
        </w:tabs>
        <w:spacing w:line="360" w:lineRule="auto"/>
        <w:rPr>
          <w:noProof/>
        </w:rPr>
      </w:pPr>
      <w:hyperlink w:anchor="_Toc27511772" w:history="1">
        <w:r w:rsidR="00864859">
          <w:rPr>
            <w:rStyle w:val="a8"/>
            <w:rFonts w:ascii="宋体" w:eastAsia="宋体" w:hAnsi="宋体" w:hint="eastAsia"/>
            <w:noProof/>
          </w:rPr>
          <w:t>第十部分</w:t>
        </w:r>
        <w:r w:rsidR="00864859">
          <w:rPr>
            <w:rStyle w:val="a8"/>
            <w:rFonts w:ascii="宋体" w:eastAsia="宋体" w:hAnsi="宋体"/>
            <w:noProof/>
          </w:rPr>
          <w:t xml:space="preserve">  </w:t>
        </w:r>
        <w:r w:rsidR="00864859">
          <w:rPr>
            <w:rStyle w:val="a8"/>
            <w:rFonts w:ascii="宋体" w:eastAsia="宋体" w:hAnsi="宋体" w:hint="eastAsia"/>
            <w:noProof/>
          </w:rPr>
          <w:t>基金的财产</w:t>
        </w:r>
        <w:r w:rsidR="00864859">
          <w:rPr>
            <w:noProof/>
          </w:rPr>
          <w:tab/>
        </w:r>
        <w:bookmarkStart w:id="6" w:name="_GoBack"/>
        <w:bookmarkEnd w:id="6"/>
        <w:r w:rsidR="00864859">
          <w:rPr>
            <w:noProof/>
          </w:rPr>
          <w:fldChar w:fldCharType="begin"/>
        </w:r>
        <w:r w:rsidR="00864859">
          <w:rPr>
            <w:noProof/>
          </w:rPr>
          <w:instrText xml:space="preserve"> PAGEREF _Toc27511772 \h </w:instrText>
        </w:r>
        <w:r w:rsidR="00864859">
          <w:rPr>
            <w:noProof/>
          </w:rPr>
        </w:r>
        <w:r w:rsidR="00864859">
          <w:rPr>
            <w:noProof/>
          </w:rPr>
          <w:fldChar w:fldCharType="separate"/>
        </w:r>
        <w:r w:rsidR="0008418A">
          <w:rPr>
            <w:noProof/>
          </w:rPr>
          <w:t>78</w:t>
        </w:r>
        <w:r w:rsidR="00864859">
          <w:rPr>
            <w:noProof/>
          </w:rPr>
          <w:fldChar w:fldCharType="end"/>
        </w:r>
      </w:hyperlink>
    </w:p>
    <w:p w:rsidR="002C1A0C" w:rsidRDefault="00F4067C">
      <w:pPr>
        <w:pStyle w:val="20"/>
        <w:tabs>
          <w:tab w:val="right" w:leader="dot" w:pos="8290"/>
        </w:tabs>
        <w:spacing w:line="360" w:lineRule="auto"/>
        <w:rPr>
          <w:noProof/>
        </w:rPr>
      </w:pPr>
      <w:hyperlink w:anchor="_Toc27511773" w:history="1">
        <w:r w:rsidR="00864859">
          <w:rPr>
            <w:rStyle w:val="a8"/>
            <w:rFonts w:ascii="宋体" w:eastAsia="宋体" w:hAnsi="宋体" w:hint="eastAsia"/>
            <w:noProof/>
          </w:rPr>
          <w:t>第十一部分</w:t>
        </w:r>
        <w:r w:rsidR="00864859">
          <w:rPr>
            <w:rStyle w:val="a8"/>
            <w:rFonts w:ascii="宋体" w:eastAsia="宋体" w:hAnsi="宋体"/>
            <w:noProof/>
          </w:rPr>
          <w:t xml:space="preserve">  </w:t>
        </w:r>
        <w:r w:rsidR="00864859">
          <w:rPr>
            <w:rStyle w:val="a8"/>
            <w:rFonts w:ascii="宋体" w:eastAsia="宋体" w:hAnsi="宋体" w:hint="eastAsia"/>
            <w:noProof/>
          </w:rPr>
          <w:t>基金资产的估值</w:t>
        </w:r>
        <w:r w:rsidR="00864859">
          <w:rPr>
            <w:noProof/>
          </w:rPr>
          <w:tab/>
        </w:r>
        <w:r w:rsidR="00864859">
          <w:rPr>
            <w:noProof/>
          </w:rPr>
          <w:fldChar w:fldCharType="begin"/>
        </w:r>
        <w:r w:rsidR="00864859">
          <w:rPr>
            <w:noProof/>
          </w:rPr>
          <w:instrText xml:space="preserve"> PAGEREF _Toc27511773 \h </w:instrText>
        </w:r>
        <w:r w:rsidR="00864859">
          <w:rPr>
            <w:noProof/>
          </w:rPr>
        </w:r>
        <w:r w:rsidR="00864859">
          <w:rPr>
            <w:noProof/>
          </w:rPr>
          <w:fldChar w:fldCharType="separate"/>
        </w:r>
        <w:r w:rsidR="0008418A">
          <w:rPr>
            <w:noProof/>
          </w:rPr>
          <w:t>79</w:t>
        </w:r>
        <w:r w:rsidR="00864859">
          <w:rPr>
            <w:noProof/>
          </w:rPr>
          <w:fldChar w:fldCharType="end"/>
        </w:r>
      </w:hyperlink>
    </w:p>
    <w:p w:rsidR="002C1A0C" w:rsidRDefault="00F4067C">
      <w:pPr>
        <w:pStyle w:val="20"/>
        <w:tabs>
          <w:tab w:val="right" w:leader="dot" w:pos="8290"/>
        </w:tabs>
        <w:spacing w:line="360" w:lineRule="auto"/>
        <w:rPr>
          <w:noProof/>
        </w:rPr>
      </w:pPr>
      <w:hyperlink w:anchor="_Toc27511774" w:history="1">
        <w:r w:rsidR="00864859">
          <w:rPr>
            <w:rStyle w:val="a8"/>
            <w:rFonts w:ascii="宋体" w:eastAsia="宋体" w:hAnsi="宋体" w:hint="eastAsia"/>
            <w:noProof/>
          </w:rPr>
          <w:t>第十二部分</w:t>
        </w:r>
        <w:r w:rsidR="00864859">
          <w:rPr>
            <w:rStyle w:val="a8"/>
            <w:rFonts w:ascii="宋体" w:eastAsia="宋体" w:hAnsi="宋体"/>
            <w:noProof/>
          </w:rPr>
          <w:t xml:space="preserve">  </w:t>
        </w:r>
        <w:r w:rsidR="00864859">
          <w:rPr>
            <w:rStyle w:val="a8"/>
            <w:rFonts w:ascii="宋体" w:eastAsia="宋体" w:hAnsi="宋体" w:hint="eastAsia"/>
            <w:noProof/>
          </w:rPr>
          <w:t>基金的收益与分配</w:t>
        </w:r>
        <w:r w:rsidR="00864859">
          <w:rPr>
            <w:noProof/>
          </w:rPr>
          <w:tab/>
        </w:r>
        <w:r w:rsidR="00864859">
          <w:rPr>
            <w:noProof/>
          </w:rPr>
          <w:fldChar w:fldCharType="begin"/>
        </w:r>
        <w:r w:rsidR="00864859">
          <w:rPr>
            <w:noProof/>
          </w:rPr>
          <w:instrText xml:space="preserve"> PAGEREF _Toc27511774 \h </w:instrText>
        </w:r>
        <w:r w:rsidR="00864859">
          <w:rPr>
            <w:noProof/>
          </w:rPr>
        </w:r>
        <w:r w:rsidR="00864859">
          <w:rPr>
            <w:noProof/>
          </w:rPr>
          <w:fldChar w:fldCharType="separate"/>
        </w:r>
        <w:r w:rsidR="0008418A">
          <w:rPr>
            <w:noProof/>
          </w:rPr>
          <w:t>84</w:t>
        </w:r>
        <w:r w:rsidR="00864859">
          <w:rPr>
            <w:noProof/>
          </w:rPr>
          <w:fldChar w:fldCharType="end"/>
        </w:r>
      </w:hyperlink>
    </w:p>
    <w:p w:rsidR="002C1A0C" w:rsidRDefault="00F4067C">
      <w:pPr>
        <w:pStyle w:val="20"/>
        <w:tabs>
          <w:tab w:val="right" w:leader="dot" w:pos="8290"/>
        </w:tabs>
        <w:spacing w:line="360" w:lineRule="auto"/>
        <w:rPr>
          <w:noProof/>
        </w:rPr>
      </w:pPr>
      <w:hyperlink w:anchor="_Toc27511775" w:history="1">
        <w:r w:rsidR="00864859">
          <w:rPr>
            <w:rStyle w:val="a8"/>
            <w:rFonts w:ascii="宋体" w:eastAsia="宋体" w:hAnsi="宋体" w:hint="eastAsia"/>
            <w:noProof/>
          </w:rPr>
          <w:t>第十三部分</w:t>
        </w:r>
        <w:r w:rsidR="00864859">
          <w:rPr>
            <w:rStyle w:val="a8"/>
            <w:rFonts w:ascii="宋体" w:eastAsia="宋体" w:hAnsi="宋体"/>
            <w:noProof/>
          </w:rPr>
          <w:t xml:space="preserve">  </w:t>
        </w:r>
        <w:r w:rsidR="00864859">
          <w:rPr>
            <w:rStyle w:val="a8"/>
            <w:rFonts w:ascii="宋体" w:eastAsia="宋体" w:hAnsi="宋体" w:hint="eastAsia"/>
            <w:noProof/>
          </w:rPr>
          <w:t>基金费用与税收</w:t>
        </w:r>
        <w:r w:rsidR="00864859">
          <w:rPr>
            <w:noProof/>
          </w:rPr>
          <w:tab/>
        </w:r>
        <w:r w:rsidR="00864859">
          <w:rPr>
            <w:noProof/>
          </w:rPr>
          <w:fldChar w:fldCharType="begin"/>
        </w:r>
        <w:r w:rsidR="00864859">
          <w:rPr>
            <w:noProof/>
          </w:rPr>
          <w:instrText xml:space="preserve"> PAGEREF _Toc27511775 \h </w:instrText>
        </w:r>
        <w:r w:rsidR="00864859">
          <w:rPr>
            <w:noProof/>
          </w:rPr>
        </w:r>
        <w:r w:rsidR="00864859">
          <w:rPr>
            <w:noProof/>
          </w:rPr>
          <w:fldChar w:fldCharType="separate"/>
        </w:r>
        <w:r w:rsidR="0008418A">
          <w:rPr>
            <w:noProof/>
          </w:rPr>
          <w:t>86</w:t>
        </w:r>
        <w:r w:rsidR="00864859">
          <w:rPr>
            <w:noProof/>
          </w:rPr>
          <w:fldChar w:fldCharType="end"/>
        </w:r>
      </w:hyperlink>
    </w:p>
    <w:p w:rsidR="002C1A0C" w:rsidRDefault="00F4067C">
      <w:pPr>
        <w:pStyle w:val="20"/>
        <w:tabs>
          <w:tab w:val="right" w:leader="dot" w:pos="8290"/>
        </w:tabs>
        <w:spacing w:line="360" w:lineRule="auto"/>
        <w:rPr>
          <w:noProof/>
        </w:rPr>
      </w:pPr>
      <w:hyperlink w:anchor="_Toc27511776" w:history="1">
        <w:r w:rsidR="00864859">
          <w:rPr>
            <w:rStyle w:val="a8"/>
            <w:rFonts w:ascii="宋体" w:eastAsia="宋体" w:hAnsi="宋体" w:hint="eastAsia"/>
            <w:noProof/>
          </w:rPr>
          <w:t>第十四部分</w:t>
        </w:r>
        <w:r w:rsidR="00864859">
          <w:rPr>
            <w:rStyle w:val="a8"/>
            <w:rFonts w:ascii="宋体" w:eastAsia="宋体" w:hAnsi="宋体"/>
            <w:noProof/>
          </w:rPr>
          <w:t xml:space="preserve">  </w:t>
        </w:r>
        <w:r w:rsidR="00864859">
          <w:rPr>
            <w:rStyle w:val="a8"/>
            <w:rFonts w:ascii="宋体" w:eastAsia="宋体" w:hAnsi="宋体" w:hint="eastAsia"/>
            <w:noProof/>
          </w:rPr>
          <w:t>基金的会计与审计</w:t>
        </w:r>
        <w:r w:rsidR="00864859">
          <w:rPr>
            <w:noProof/>
          </w:rPr>
          <w:tab/>
        </w:r>
        <w:r w:rsidR="00864859">
          <w:rPr>
            <w:noProof/>
          </w:rPr>
          <w:fldChar w:fldCharType="begin"/>
        </w:r>
        <w:r w:rsidR="00864859">
          <w:rPr>
            <w:noProof/>
          </w:rPr>
          <w:instrText xml:space="preserve"> PAGEREF _Toc27511776 \h </w:instrText>
        </w:r>
        <w:r w:rsidR="00864859">
          <w:rPr>
            <w:noProof/>
          </w:rPr>
        </w:r>
        <w:r w:rsidR="00864859">
          <w:rPr>
            <w:noProof/>
          </w:rPr>
          <w:fldChar w:fldCharType="separate"/>
        </w:r>
        <w:r w:rsidR="0008418A">
          <w:rPr>
            <w:noProof/>
          </w:rPr>
          <w:t>89</w:t>
        </w:r>
        <w:r w:rsidR="00864859">
          <w:rPr>
            <w:noProof/>
          </w:rPr>
          <w:fldChar w:fldCharType="end"/>
        </w:r>
      </w:hyperlink>
    </w:p>
    <w:p w:rsidR="002C1A0C" w:rsidRDefault="00F4067C">
      <w:pPr>
        <w:pStyle w:val="20"/>
        <w:tabs>
          <w:tab w:val="right" w:leader="dot" w:pos="8290"/>
        </w:tabs>
        <w:spacing w:line="360" w:lineRule="auto"/>
        <w:rPr>
          <w:noProof/>
        </w:rPr>
      </w:pPr>
      <w:hyperlink w:anchor="_Toc27511777" w:history="1">
        <w:r w:rsidR="00864859">
          <w:rPr>
            <w:rStyle w:val="a8"/>
            <w:rFonts w:ascii="宋体" w:eastAsia="宋体" w:hAnsi="宋体" w:hint="eastAsia"/>
            <w:noProof/>
          </w:rPr>
          <w:t>第十五部分</w:t>
        </w:r>
        <w:r w:rsidR="00864859">
          <w:rPr>
            <w:rStyle w:val="a8"/>
            <w:rFonts w:ascii="宋体" w:eastAsia="宋体" w:hAnsi="宋体"/>
            <w:noProof/>
          </w:rPr>
          <w:t xml:space="preserve">  </w:t>
        </w:r>
        <w:r w:rsidR="00864859">
          <w:rPr>
            <w:rStyle w:val="a8"/>
            <w:rFonts w:ascii="宋体" w:eastAsia="宋体" w:hAnsi="宋体" w:hint="eastAsia"/>
            <w:noProof/>
          </w:rPr>
          <w:t>基金的信息披露</w:t>
        </w:r>
        <w:r w:rsidR="00864859">
          <w:rPr>
            <w:noProof/>
          </w:rPr>
          <w:tab/>
        </w:r>
        <w:r w:rsidR="00864859">
          <w:rPr>
            <w:noProof/>
          </w:rPr>
          <w:fldChar w:fldCharType="begin"/>
        </w:r>
        <w:r w:rsidR="00864859">
          <w:rPr>
            <w:noProof/>
          </w:rPr>
          <w:instrText xml:space="preserve"> PAGEREF _Toc27511777 \h </w:instrText>
        </w:r>
        <w:r w:rsidR="00864859">
          <w:rPr>
            <w:noProof/>
          </w:rPr>
        </w:r>
        <w:r w:rsidR="00864859">
          <w:rPr>
            <w:noProof/>
          </w:rPr>
          <w:fldChar w:fldCharType="separate"/>
        </w:r>
        <w:r w:rsidR="0008418A">
          <w:rPr>
            <w:noProof/>
          </w:rPr>
          <w:t>90</w:t>
        </w:r>
        <w:r w:rsidR="00864859">
          <w:rPr>
            <w:noProof/>
          </w:rPr>
          <w:fldChar w:fldCharType="end"/>
        </w:r>
      </w:hyperlink>
    </w:p>
    <w:p w:rsidR="002C1A0C" w:rsidRDefault="00F4067C">
      <w:pPr>
        <w:pStyle w:val="20"/>
        <w:tabs>
          <w:tab w:val="right" w:leader="dot" w:pos="8290"/>
        </w:tabs>
        <w:spacing w:line="360" w:lineRule="auto"/>
        <w:rPr>
          <w:noProof/>
        </w:rPr>
      </w:pPr>
      <w:hyperlink w:anchor="_Toc27511778" w:history="1">
        <w:r w:rsidR="00864859">
          <w:rPr>
            <w:rStyle w:val="a8"/>
            <w:rFonts w:ascii="宋体" w:eastAsia="宋体" w:hAnsi="宋体" w:hint="eastAsia"/>
            <w:noProof/>
          </w:rPr>
          <w:t>第十六部分</w:t>
        </w:r>
        <w:r w:rsidR="00864859">
          <w:rPr>
            <w:rStyle w:val="a8"/>
            <w:rFonts w:ascii="宋体" w:eastAsia="宋体" w:hAnsi="宋体"/>
            <w:noProof/>
          </w:rPr>
          <w:t xml:space="preserve">  </w:t>
        </w:r>
        <w:r w:rsidR="00864859">
          <w:rPr>
            <w:rStyle w:val="a8"/>
            <w:rFonts w:ascii="宋体" w:eastAsia="宋体" w:hAnsi="宋体" w:hint="eastAsia"/>
            <w:noProof/>
          </w:rPr>
          <w:t>风险揭示</w:t>
        </w:r>
        <w:r w:rsidR="00864859">
          <w:rPr>
            <w:noProof/>
          </w:rPr>
          <w:tab/>
        </w:r>
        <w:r w:rsidR="00864859">
          <w:rPr>
            <w:noProof/>
          </w:rPr>
          <w:fldChar w:fldCharType="begin"/>
        </w:r>
        <w:r w:rsidR="00864859">
          <w:rPr>
            <w:noProof/>
          </w:rPr>
          <w:instrText xml:space="preserve"> PAGEREF _Toc27511778 \h </w:instrText>
        </w:r>
        <w:r w:rsidR="00864859">
          <w:rPr>
            <w:noProof/>
          </w:rPr>
        </w:r>
        <w:r w:rsidR="00864859">
          <w:rPr>
            <w:noProof/>
          </w:rPr>
          <w:fldChar w:fldCharType="separate"/>
        </w:r>
        <w:r w:rsidR="0008418A">
          <w:rPr>
            <w:noProof/>
          </w:rPr>
          <w:t>97</w:t>
        </w:r>
        <w:r w:rsidR="00864859">
          <w:rPr>
            <w:noProof/>
          </w:rPr>
          <w:fldChar w:fldCharType="end"/>
        </w:r>
      </w:hyperlink>
    </w:p>
    <w:p w:rsidR="002C1A0C" w:rsidRDefault="00F4067C">
      <w:pPr>
        <w:pStyle w:val="20"/>
        <w:tabs>
          <w:tab w:val="right" w:leader="dot" w:pos="8290"/>
        </w:tabs>
        <w:spacing w:line="360" w:lineRule="auto"/>
        <w:rPr>
          <w:noProof/>
        </w:rPr>
      </w:pPr>
      <w:hyperlink w:anchor="_Toc27511779" w:history="1">
        <w:r w:rsidR="00864859">
          <w:rPr>
            <w:rStyle w:val="a8"/>
            <w:rFonts w:ascii="宋体" w:eastAsia="宋体" w:hAnsi="宋体" w:hint="eastAsia"/>
            <w:noProof/>
          </w:rPr>
          <w:t>第十七部分</w:t>
        </w:r>
        <w:r w:rsidR="00864859">
          <w:rPr>
            <w:rStyle w:val="a8"/>
            <w:rFonts w:ascii="宋体" w:eastAsia="宋体" w:hAnsi="宋体"/>
            <w:noProof/>
          </w:rPr>
          <w:t xml:space="preserve">  </w:t>
        </w:r>
        <w:r w:rsidR="00864859">
          <w:rPr>
            <w:rStyle w:val="a8"/>
            <w:rFonts w:ascii="宋体" w:eastAsia="宋体" w:hAnsi="宋体" w:hint="eastAsia"/>
            <w:noProof/>
          </w:rPr>
          <w:t>基金合同的变更、终止与基金财产的清算</w:t>
        </w:r>
        <w:r w:rsidR="00864859">
          <w:rPr>
            <w:noProof/>
          </w:rPr>
          <w:tab/>
        </w:r>
        <w:r w:rsidR="00864859">
          <w:rPr>
            <w:noProof/>
          </w:rPr>
          <w:fldChar w:fldCharType="begin"/>
        </w:r>
        <w:r w:rsidR="00864859">
          <w:rPr>
            <w:noProof/>
          </w:rPr>
          <w:instrText xml:space="preserve"> PAGEREF _Toc27511779 \h </w:instrText>
        </w:r>
        <w:r w:rsidR="00864859">
          <w:rPr>
            <w:noProof/>
          </w:rPr>
        </w:r>
        <w:r w:rsidR="00864859">
          <w:rPr>
            <w:noProof/>
          </w:rPr>
          <w:fldChar w:fldCharType="separate"/>
        </w:r>
        <w:r w:rsidR="0008418A">
          <w:rPr>
            <w:noProof/>
          </w:rPr>
          <w:t>104</w:t>
        </w:r>
        <w:r w:rsidR="00864859">
          <w:rPr>
            <w:noProof/>
          </w:rPr>
          <w:fldChar w:fldCharType="end"/>
        </w:r>
      </w:hyperlink>
    </w:p>
    <w:p w:rsidR="002C1A0C" w:rsidRDefault="00F4067C">
      <w:pPr>
        <w:pStyle w:val="20"/>
        <w:tabs>
          <w:tab w:val="right" w:leader="dot" w:pos="8290"/>
        </w:tabs>
        <w:spacing w:line="360" w:lineRule="auto"/>
        <w:rPr>
          <w:noProof/>
        </w:rPr>
      </w:pPr>
      <w:hyperlink w:anchor="_Toc27511780" w:history="1">
        <w:r w:rsidR="00864859">
          <w:rPr>
            <w:rStyle w:val="a8"/>
            <w:rFonts w:ascii="宋体" w:eastAsia="宋体" w:hAnsi="宋体" w:hint="eastAsia"/>
            <w:noProof/>
          </w:rPr>
          <w:t>第十八部分</w:t>
        </w:r>
        <w:r w:rsidR="00864859">
          <w:rPr>
            <w:rStyle w:val="a8"/>
            <w:rFonts w:ascii="宋体" w:eastAsia="宋体" w:hAnsi="宋体"/>
            <w:noProof/>
          </w:rPr>
          <w:t xml:space="preserve">  </w:t>
        </w:r>
        <w:r w:rsidR="00864859">
          <w:rPr>
            <w:rStyle w:val="a8"/>
            <w:rFonts w:ascii="宋体" w:eastAsia="宋体" w:hAnsi="宋体" w:hint="eastAsia"/>
            <w:noProof/>
          </w:rPr>
          <w:t>基金合同的内容摘要</w:t>
        </w:r>
        <w:r w:rsidR="00864859">
          <w:rPr>
            <w:noProof/>
          </w:rPr>
          <w:tab/>
        </w:r>
        <w:r w:rsidR="00864859">
          <w:rPr>
            <w:noProof/>
          </w:rPr>
          <w:fldChar w:fldCharType="begin"/>
        </w:r>
        <w:r w:rsidR="00864859">
          <w:rPr>
            <w:noProof/>
          </w:rPr>
          <w:instrText xml:space="preserve"> PAGEREF _Toc27511780 \h </w:instrText>
        </w:r>
        <w:r w:rsidR="00864859">
          <w:rPr>
            <w:noProof/>
          </w:rPr>
        </w:r>
        <w:r w:rsidR="00864859">
          <w:rPr>
            <w:noProof/>
          </w:rPr>
          <w:fldChar w:fldCharType="separate"/>
        </w:r>
        <w:r w:rsidR="0008418A">
          <w:rPr>
            <w:noProof/>
          </w:rPr>
          <w:t>106</w:t>
        </w:r>
        <w:r w:rsidR="00864859">
          <w:rPr>
            <w:noProof/>
          </w:rPr>
          <w:fldChar w:fldCharType="end"/>
        </w:r>
      </w:hyperlink>
    </w:p>
    <w:p w:rsidR="002C1A0C" w:rsidRDefault="00F4067C">
      <w:pPr>
        <w:pStyle w:val="20"/>
        <w:tabs>
          <w:tab w:val="right" w:leader="dot" w:pos="8290"/>
        </w:tabs>
        <w:spacing w:line="360" w:lineRule="auto"/>
        <w:rPr>
          <w:noProof/>
        </w:rPr>
      </w:pPr>
      <w:hyperlink w:anchor="_Toc27511781" w:history="1">
        <w:r w:rsidR="00864859">
          <w:rPr>
            <w:rStyle w:val="a8"/>
            <w:rFonts w:ascii="宋体" w:eastAsia="宋体" w:hAnsi="宋体" w:hint="eastAsia"/>
            <w:noProof/>
          </w:rPr>
          <w:t>第十九部分</w:t>
        </w:r>
        <w:r w:rsidR="00864859">
          <w:rPr>
            <w:rStyle w:val="a8"/>
            <w:rFonts w:ascii="宋体" w:eastAsia="宋体" w:hAnsi="宋体"/>
            <w:noProof/>
          </w:rPr>
          <w:t xml:space="preserve">  </w:t>
        </w:r>
        <w:r w:rsidR="00864859">
          <w:rPr>
            <w:rStyle w:val="a8"/>
            <w:rFonts w:ascii="宋体" w:eastAsia="宋体" w:hAnsi="宋体" w:hint="eastAsia"/>
            <w:noProof/>
          </w:rPr>
          <w:t>基金托管协议的内容摘要</w:t>
        </w:r>
        <w:r w:rsidR="00864859">
          <w:rPr>
            <w:noProof/>
          </w:rPr>
          <w:tab/>
        </w:r>
        <w:r w:rsidR="00864859">
          <w:rPr>
            <w:noProof/>
          </w:rPr>
          <w:fldChar w:fldCharType="begin"/>
        </w:r>
        <w:r w:rsidR="00864859">
          <w:rPr>
            <w:noProof/>
          </w:rPr>
          <w:instrText xml:space="preserve"> PAGEREF _Toc27511781 \h </w:instrText>
        </w:r>
        <w:r w:rsidR="00864859">
          <w:rPr>
            <w:noProof/>
          </w:rPr>
        </w:r>
        <w:r w:rsidR="00864859">
          <w:rPr>
            <w:noProof/>
          </w:rPr>
          <w:fldChar w:fldCharType="separate"/>
        </w:r>
        <w:r w:rsidR="0008418A">
          <w:rPr>
            <w:noProof/>
          </w:rPr>
          <w:t>120</w:t>
        </w:r>
        <w:r w:rsidR="00864859">
          <w:rPr>
            <w:noProof/>
          </w:rPr>
          <w:fldChar w:fldCharType="end"/>
        </w:r>
      </w:hyperlink>
    </w:p>
    <w:p w:rsidR="002C1A0C" w:rsidRDefault="00F4067C">
      <w:pPr>
        <w:pStyle w:val="20"/>
        <w:tabs>
          <w:tab w:val="right" w:leader="dot" w:pos="8290"/>
        </w:tabs>
        <w:spacing w:line="360" w:lineRule="auto"/>
        <w:rPr>
          <w:noProof/>
        </w:rPr>
      </w:pPr>
      <w:hyperlink w:anchor="_Toc27511782" w:history="1">
        <w:r w:rsidR="00864859">
          <w:rPr>
            <w:rStyle w:val="a8"/>
            <w:rFonts w:ascii="宋体" w:eastAsia="宋体" w:hAnsi="宋体" w:hint="eastAsia"/>
            <w:noProof/>
          </w:rPr>
          <w:t>第二十部分</w:t>
        </w:r>
        <w:r w:rsidR="00864859">
          <w:rPr>
            <w:rStyle w:val="a8"/>
            <w:rFonts w:ascii="宋体" w:eastAsia="宋体" w:hAnsi="宋体"/>
            <w:noProof/>
          </w:rPr>
          <w:t xml:space="preserve">  </w:t>
        </w:r>
        <w:r w:rsidR="00864859">
          <w:rPr>
            <w:rStyle w:val="a8"/>
            <w:rFonts w:ascii="宋体" w:eastAsia="宋体" w:hAnsi="宋体" w:hint="eastAsia"/>
            <w:noProof/>
          </w:rPr>
          <w:t>对基金份额持有人的服务</w:t>
        </w:r>
        <w:r w:rsidR="00864859">
          <w:rPr>
            <w:noProof/>
          </w:rPr>
          <w:tab/>
        </w:r>
        <w:r w:rsidR="00864859">
          <w:rPr>
            <w:noProof/>
          </w:rPr>
          <w:fldChar w:fldCharType="begin"/>
        </w:r>
        <w:r w:rsidR="00864859">
          <w:rPr>
            <w:noProof/>
          </w:rPr>
          <w:instrText xml:space="preserve"> PAGEREF _Toc27511782 \h </w:instrText>
        </w:r>
        <w:r w:rsidR="00864859">
          <w:rPr>
            <w:noProof/>
          </w:rPr>
        </w:r>
        <w:r w:rsidR="00864859">
          <w:rPr>
            <w:noProof/>
          </w:rPr>
          <w:fldChar w:fldCharType="separate"/>
        </w:r>
        <w:r w:rsidR="0008418A">
          <w:rPr>
            <w:noProof/>
          </w:rPr>
          <w:t>138</w:t>
        </w:r>
        <w:r w:rsidR="00864859">
          <w:rPr>
            <w:noProof/>
          </w:rPr>
          <w:fldChar w:fldCharType="end"/>
        </w:r>
      </w:hyperlink>
    </w:p>
    <w:p w:rsidR="002C1A0C" w:rsidRDefault="00F4067C">
      <w:pPr>
        <w:pStyle w:val="20"/>
        <w:tabs>
          <w:tab w:val="right" w:leader="dot" w:pos="8290"/>
        </w:tabs>
        <w:spacing w:line="360" w:lineRule="auto"/>
        <w:rPr>
          <w:noProof/>
        </w:rPr>
      </w:pPr>
      <w:hyperlink w:anchor="_Toc27511783" w:history="1">
        <w:r w:rsidR="00864859">
          <w:rPr>
            <w:rStyle w:val="a8"/>
            <w:rFonts w:ascii="宋体" w:eastAsia="宋体" w:hAnsi="宋体" w:hint="eastAsia"/>
            <w:noProof/>
          </w:rPr>
          <w:t>第二十一部分</w:t>
        </w:r>
        <w:r w:rsidR="00864859">
          <w:rPr>
            <w:rStyle w:val="a8"/>
            <w:rFonts w:ascii="宋体" w:eastAsia="宋体" w:hAnsi="宋体"/>
            <w:noProof/>
          </w:rPr>
          <w:t xml:space="preserve"> </w:t>
        </w:r>
        <w:r w:rsidR="00864859">
          <w:rPr>
            <w:rStyle w:val="a8"/>
            <w:rFonts w:ascii="宋体" w:eastAsia="宋体" w:hAnsi="宋体" w:hint="eastAsia"/>
            <w:noProof/>
          </w:rPr>
          <w:t>其他应披露的事项</w:t>
        </w:r>
        <w:r w:rsidR="00864859">
          <w:rPr>
            <w:noProof/>
          </w:rPr>
          <w:tab/>
        </w:r>
        <w:r w:rsidR="00864859">
          <w:rPr>
            <w:noProof/>
          </w:rPr>
          <w:fldChar w:fldCharType="begin"/>
        </w:r>
        <w:r w:rsidR="00864859">
          <w:rPr>
            <w:noProof/>
          </w:rPr>
          <w:instrText xml:space="preserve"> PAGEREF _Toc27511783 \h </w:instrText>
        </w:r>
        <w:r w:rsidR="00864859">
          <w:rPr>
            <w:noProof/>
          </w:rPr>
        </w:r>
        <w:r w:rsidR="00864859">
          <w:rPr>
            <w:noProof/>
          </w:rPr>
          <w:fldChar w:fldCharType="separate"/>
        </w:r>
        <w:r w:rsidR="0008418A">
          <w:rPr>
            <w:noProof/>
          </w:rPr>
          <w:t>141</w:t>
        </w:r>
        <w:r w:rsidR="00864859">
          <w:rPr>
            <w:noProof/>
          </w:rPr>
          <w:fldChar w:fldCharType="end"/>
        </w:r>
      </w:hyperlink>
    </w:p>
    <w:p w:rsidR="002C1A0C" w:rsidRDefault="00F4067C">
      <w:pPr>
        <w:pStyle w:val="20"/>
        <w:tabs>
          <w:tab w:val="right" w:leader="dot" w:pos="8290"/>
        </w:tabs>
        <w:spacing w:line="360" w:lineRule="auto"/>
        <w:rPr>
          <w:noProof/>
        </w:rPr>
      </w:pPr>
      <w:hyperlink w:anchor="_Toc27511784" w:history="1">
        <w:r w:rsidR="00864859">
          <w:rPr>
            <w:rStyle w:val="a8"/>
            <w:rFonts w:ascii="宋体" w:eastAsia="宋体" w:hAnsi="宋体" w:hint="eastAsia"/>
            <w:noProof/>
          </w:rPr>
          <w:t>第二十二部分</w:t>
        </w:r>
        <w:r w:rsidR="00864859">
          <w:rPr>
            <w:rStyle w:val="a8"/>
            <w:rFonts w:ascii="宋体" w:eastAsia="宋体" w:hAnsi="宋体"/>
            <w:noProof/>
          </w:rPr>
          <w:t xml:space="preserve">  </w:t>
        </w:r>
        <w:r w:rsidR="00864859">
          <w:rPr>
            <w:rStyle w:val="a8"/>
            <w:rFonts w:ascii="宋体" w:eastAsia="宋体" w:hAnsi="宋体" w:hint="eastAsia"/>
            <w:noProof/>
          </w:rPr>
          <w:t>招募说明书存放及查阅方式</w:t>
        </w:r>
        <w:r w:rsidR="00864859">
          <w:rPr>
            <w:noProof/>
          </w:rPr>
          <w:tab/>
        </w:r>
        <w:r w:rsidR="00864859">
          <w:rPr>
            <w:noProof/>
          </w:rPr>
          <w:fldChar w:fldCharType="begin"/>
        </w:r>
        <w:r w:rsidR="00864859">
          <w:rPr>
            <w:noProof/>
          </w:rPr>
          <w:instrText xml:space="preserve"> PAGEREF _Toc27511784 \h </w:instrText>
        </w:r>
        <w:r w:rsidR="00864859">
          <w:rPr>
            <w:noProof/>
          </w:rPr>
        </w:r>
        <w:r w:rsidR="00864859">
          <w:rPr>
            <w:noProof/>
          </w:rPr>
          <w:fldChar w:fldCharType="separate"/>
        </w:r>
        <w:r w:rsidR="0008418A">
          <w:rPr>
            <w:noProof/>
          </w:rPr>
          <w:t>143</w:t>
        </w:r>
        <w:r w:rsidR="00864859">
          <w:rPr>
            <w:noProof/>
          </w:rPr>
          <w:fldChar w:fldCharType="end"/>
        </w:r>
      </w:hyperlink>
    </w:p>
    <w:p w:rsidR="002C1A0C" w:rsidRDefault="00F4067C">
      <w:pPr>
        <w:pStyle w:val="20"/>
        <w:tabs>
          <w:tab w:val="right" w:leader="dot" w:pos="8290"/>
        </w:tabs>
        <w:spacing w:line="360" w:lineRule="auto"/>
        <w:rPr>
          <w:noProof/>
        </w:rPr>
      </w:pPr>
      <w:hyperlink w:anchor="_Toc27511785" w:history="1">
        <w:r w:rsidR="00864859">
          <w:rPr>
            <w:rStyle w:val="a8"/>
            <w:rFonts w:ascii="宋体" w:eastAsia="宋体" w:hAnsi="宋体" w:hint="eastAsia"/>
            <w:noProof/>
          </w:rPr>
          <w:t>第二十三部分</w:t>
        </w:r>
        <w:r w:rsidR="00864859">
          <w:rPr>
            <w:rStyle w:val="a8"/>
            <w:rFonts w:ascii="宋体" w:eastAsia="宋体" w:hAnsi="宋体"/>
            <w:noProof/>
          </w:rPr>
          <w:t xml:space="preserve">  </w:t>
        </w:r>
        <w:r w:rsidR="00864859">
          <w:rPr>
            <w:rStyle w:val="a8"/>
            <w:rFonts w:ascii="宋体" w:eastAsia="宋体" w:hAnsi="宋体" w:hint="eastAsia"/>
            <w:noProof/>
          </w:rPr>
          <w:t>备查文件</w:t>
        </w:r>
        <w:r w:rsidR="00864859">
          <w:rPr>
            <w:noProof/>
          </w:rPr>
          <w:tab/>
        </w:r>
        <w:r w:rsidR="00864859">
          <w:rPr>
            <w:noProof/>
          </w:rPr>
          <w:fldChar w:fldCharType="begin"/>
        </w:r>
        <w:r w:rsidR="00864859">
          <w:rPr>
            <w:noProof/>
          </w:rPr>
          <w:instrText xml:space="preserve"> PAGEREF _Toc27511785 \h </w:instrText>
        </w:r>
        <w:r w:rsidR="00864859">
          <w:rPr>
            <w:noProof/>
          </w:rPr>
        </w:r>
        <w:r w:rsidR="00864859">
          <w:rPr>
            <w:noProof/>
          </w:rPr>
          <w:fldChar w:fldCharType="separate"/>
        </w:r>
        <w:r w:rsidR="0008418A">
          <w:rPr>
            <w:noProof/>
          </w:rPr>
          <w:t>144</w:t>
        </w:r>
        <w:r w:rsidR="00864859">
          <w:rPr>
            <w:noProof/>
          </w:rPr>
          <w:fldChar w:fldCharType="end"/>
        </w:r>
      </w:hyperlink>
    </w:p>
    <w:p w:rsidR="002C1A0C" w:rsidRDefault="00864859">
      <w:pPr>
        <w:widowControl/>
        <w:spacing w:line="360" w:lineRule="auto"/>
        <w:ind w:leftChars="-1" w:left="-2"/>
        <w:jc w:val="center"/>
        <w:rPr>
          <w:rFonts w:ascii="宋体" w:eastAsia="宋体" w:hAnsi="宋体"/>
          <w:b/>
          <w:sz w:val="28"/>
        </w:rPr>
      </w:pPr>
      <w:r>
        <w:rPr>
          <w:rFonts w:ascii="宋体" w:eastAsia="宋体" w:hAnsi="宋体"/>
        </w:rPr>
        <w:fldChar w:fldCharType="end"/>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7" w:name="chapter_level1_3_2344"/>
      <w:bookmarkStart w:id="8" w:name="_Toc27511763"/>
      <w:r>
        <w:rPr>
          <w:rFonts w:ascii="宋体" w:eastAsia="宋体" w:hAnsi="宋体" w:hint="eastAsia"/>
          <w:sz w:val="30"/>
        </w:rPr>
        <w:lastRenderedPageBreak/>
        <w:t>第一部分  绪言</w:t>
      </w:r>
      <w:bookmarkEnd w:id="7"/>
      <w:bookmarkEnd w:id="8"/>
    </w:p>
    <w:p w:rsidR="002C1A0C" w:rsidRDefault="00864859">
      <w:pPr>
        <w:pStyle w:val="a5"/>
        <w:spacing w:before="0" w:beforeAutospacing="0" w:after="0" w:afterAutospacing="0" w:line="360" w:lineRule="auto"/>
        <w:ind w:firstLine="420"/>
        <w:rPr>
          <w:sz w:val="21"/>
          <w:szCs w:val="21"/>
        </w:rPr>
      </w:pPr>
      <w:bookmarkStart w:id="9" w:name="chapter_level1_3_2344_section_1"/>
      <w:bookmarkEnd w:id="9"/>
      <w:r>
        <w:rPr>
          <w:rFonts w:hint="eastAsia"/>
          <w:sz w:val="21"/>
          <w:szCs w:val="21"/>
        </w:rPr>
        <w:t>《</w:t>
      </w:r>
      <w:bookmarkStart w:id="10" w:name="field_49_productfullname_2"/>
      <w:r>
        <w:rPr>
          <w:rFonts w:hint="eastAsia"/>
          <w:sz w:val="21"/>
          <w:szCs w:val="21"/>
        </w:rPr>
        <w:t>博时荣享回报灵活配置定期开放混合型证券投资基金</w:t>
      </w:r>
      <w:bookmarkEnd w:id="10"/>
      <w:r>
        <w:rPr>
          <w:rFonts w:hint="eastAsia"/>
          <w:sz w:val="21"/>
          <w:szCs w:val="21"/>
        </w:rPr>
        <w:t>招募说明书》（以下简称“招募说明书”或“本招募说明书”）依照《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以及《</w:t>
      </w:r>
      <w:bookmarkStart w:id="11" w:name="field_49_productfullname_3"/>
      <w:r>
        <w:rPr>
          <w:rFonts w:hint="eastAsia"/>
          <w:sz w:val="21"/>
          <w:szCs w:val="21"/>
        </w:rPr>
        <w:t>博时荣享回报灵活配置定期开放混合型证券投资基金</w:t>
      </w:r>
      <w:bookmarkEnd w:id="11"/>
      <w:r>
        <w:rPr>
          <w:rFonts w:hint="eastAsia"/>
          <w:sz w:val="21"/>
          <w:szCs w:val="21"/>
        </w:rPr>
        <w:t>基金合同》（以下简称“基金合同”或《基金合同》）编写。</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基金管理人承诺本招募说明书不存在任何虚假记载、误导性陈述或重大遗漏，并对其真实性、准确性、完整性承担法律责任。 </w:t>
      </w:r>
    </w:p>
    <w:p w:rsidR="002C1A0C" w:rsidRDefault="00864859">
      <w:pPr>
        <w:pStyle w:val="a5"/>
        <w:spacing w:before="0" w:beforeAutospacing="0" w:after="0" w:afterAutospacing="0" w:line="360" w:lineRule="auto"/>
        <w:ind w:firstLine="420"/>
        <w:rPr>
          <w:sz w:val="21"/>
          <w:szCs w:val="21"/>
        </w:rPr>
      </w:pPr>
      <w:bookmarkStart w:id="12" w:name="field_49_productfullname_4"/>
      <w:r>
        <w:rPr>
          <w:rFonts w:hint="eastAsia"/>
          <w:sz w:val="21"/>
          <w:szCs w:val="21"/>
        </w:rPr>
        <w:t>博时荣享回报灵活配置定期开放混合型证券投资基金</w:t>
      </w:r>
      <w:bookmarkEnd w:id="12"/>
      <w:r>
        <w:rPr>
          <w:rFonts w:hint="eastAsia"/>
          <w:sz w:val="21"/>
          <w:szCs w:val="21"/>
        </w:rPr>
        <w:t xml:space="preserve">（以下简称“基金”或“本基金”）是根据本招募说明书所载明的资料申请募集的。本基金管理人没有委托或授权任何其他人提供未在本招募说明书中载明的信息，或对本招募说明书作任何解释或者说明。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招募说明书根据本基金的基金合同编写，并经中国证券监督管理委员会（以下简称“中国证监会”）注册。基金合同是约定基金合同当事人之间权利、义务关系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w:t>
      </w:r>
      <w:bookmarkStart w:id="13" w:name="chapter_level1_3_2344_section_1_end"/>
      <w:bookmarkEnd w:id="13"/>
      <w:r>
        <w:rPr>
          <w:rFonts w:hint="eastAsia"/>
          <w:sz w:val="21"/>
          <w:szCs w:val="21"/>
        </w:rPr>
        <w:t xml:space="preserve">阅基金合同。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4" w:name="chapter_level1_4_49"/>
      <w:bookmarkStart w:id="15" w:name="_Toc27511764"/>
      <w:r>
        <w:rPr>
          <w:rFonts w:ascii="宋体" w:eastAsia="宋体" w:hAnsi="宋体" w:hint="eastAsia"/>
          <w:sz w:val="30"/>
        </w:rPr>
        <w:lastRenderedPageBreak/>
        <w:t>第二部分  释义</w:t>
      </w:r>
      <w:bookmarkEnd w:id="14"/>
      <w:bookmarkEnd w:id="15"/>
    </w:p>
    <w:p w:rsidR="002C1A0C" w:rsidRDefault="00864859">
      <w:pPr>
        <w:pStyle w:val="a5"/>
        <w:spacing w:before="0" w:beforeAutospacing="0" w:after="0" w:afterAutospacing="0" w:line="360" w:lineRule="auto"/>
        <w:ind w:firstLine="420"/>
        <w:rPr>
          <w:sz w:val="21"/>
          <w:szCs w:val="21"/>
        </w:rPr>
      </w:pPr>
      <w:bookmarkStart w:id="16" w:name="chapter_level1_4_49_section_1"/>
      <w:bookmarkEnd w:id="16"/>
      <w:r>
        <w:rPr>
          <w:rFonts w:hint="eastAsia"/>
          <w:sz w:val="21"/>
          <w:szCs w:val="21"/>
        </w:rPr>
        <w:t>在本招募说明书中，除非文意另有所指，下列词语或简称具有如下含义：</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1、基金或本基金：指</w:t>
      </w:r>
      <w:bookmarkStart w:id="17" w:name="field_49_productfullname_5"/>
      <w:r>
        <w:rPr>
          <w:rFonts w:hint="eastAsia"/>
          <w:sz w:val="21"/>
          <w:szCs w:val="21"/>
        </w:rPr>
        <w:t>博时荣享回报灵活配置定期开放混合型证券投资基金</w:t>
      </w:r>
      <w:bookmarkEnd w:id="17"/>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2、基金管理人：指</w:t>
      </w:r>
      <w:bookmarkStart w:id="18" w:name="field_49_managerorgfullname_1"/>
      <w:r>
        <w:rPr>
          <w:rFonts w:hint="eastAsia"/>
          <w:sz w:val="21"/>
          <w:szCs w:val="21"/>
        </w:rPr>
        <w:t>博时基金管理有限公司</w:t>
      </w:r>
      <w:bookmarkEnd w:id="18"/>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3、基金托管人：指</w:t>
      </w:r>
      <w:bookmarkStart w:id="19" w:name="field_49_trustorgfullname_1"/>
      <w:r>
        <w:rPr>
          <w:rFonts w:hint="eastAsia"/>
          <w:sz w:val="21"/>
          <w:szCs w:val="21"/>
        </w:rPr>
        <w:t>中国工商银行股份有限公司</w:t>
      </w:r>
      <w:bookmarkEnd w:id="19"/>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4、基金合同：指《</w:t>
      </w:r>
      <w:bookmarkStart w:id="20" w:name="field_49_productfullname_6"/>
      <w:r>
        <w:rPr>
          <w:rFonts w:hint="eastAsia"/>
          <w:sz w:val="21"/>
          <w:szCs w:val="21"/>
        </w:rPr>
        <w:t>博时荣享回报灵活配置定期开放混合型证券投资基金</w:t>
      </w:r>
      <w:bookmarkEnd w:id="20"/>
      <w:r>
        <w:rPr>
          <w:rFonts w:hint="eastAsia"/>
          <w:sz w:val="21"/>
          <w:szCs w:val="21"/>
        </w:rPr>
        <w:t xml:space="preserve">基金合同》及对基金合同的任何有效修订和补充 </w:t>
      </w:r>
    </w:p>
    <w:p w:rsidR="002C1A0C" w:rsidRDefault="00864859">
      <w:pPr>
        <w:pStyle w:val="a5"/>
        <w:spacing w:before="0" w:beforeAutospacing="0" w:after="0" w:afterAutospacing="0" w:line="360" w:lineRule="auto"/>
        <w:ind w:firstLine="420"/>
        <w:rPr>
          <w:sz w:val="21"/>
          <w:szCs w:val="21"/>
        </w:rPr>
      </w:pPr>
      <w:r>
        <w:rPr>
          <w:rFonts w:hint="eastAsia"/>
          <w:sz w:val="21"/>
          <w:szCs w:val="21"/>
        </w:rPr>
        <w:t>5、托管协议：指基金管理人与基金托管人就本基金签订之《</w:t>
      </w:r>
      <w:bookmarkStart w:id="21" w:name="field_49_productfullname_7"/>
      <w:r>
        <w:rPr>
          <w:rFonts w:hint="eastAsia"/>
          <w:sz w:val="21"/>
          <w:szCs w:val="21"/>
        </w:rPr>
        <w:t>博时荣享回报灵活配置定期开放混合型证券投资基金</w:t>
      </w:r>
      <w:bookmarkEnd w:id="21"/>
      <w:r>
        <w:rPr>
          <w:rFonts w:hint="eastAsia"/>
          <w:sz w:val="21"/>
          <w:szCs w:val="21"/>
        </w:rPr>
        <w:t xml:space="preserve">托管协议》及对该托管协议的任何有效修订和补充 </w:t>
      </w:r>
    </w:p>
    <w:p w:rsidR="002C1A0C" w:rsidRDefault="00864859">
      <w:pPr>
        <w:pStyle w:val="a5"/>
        <w:spacing w:before="0" w:beforeAutospacing="0" w:after="0" w:afterAutospacing="0" w:line="360" w:lineRule="auto"/>
        <w:ind w:firstLine="420"/>
        <w:rPr>
          <w:sz w:val="21"/>
          <w:szCs w:val="21"/>
        </w:rPr>
      </w:pPr>
      <w:r>
        <w:rPr>
          <w:rFonts w:hint="eastAsia"/>
          <w:sz w:val="21"/>
          <w:szCs w:val="21"/>
        </w:rPr>
        <w:t>6、招募说明书或本招募说明书：指《</w:t>
      </w:r>
      <w:bookmarkStart w:id="22" w:name="field_49_productfullname_8"/>
      <w:r>
        <w:rPr>
          <w:rFonts w:hint="eastAsia"/>
          <w:sz w:val="21"/>
          <w:szCs w:val="21"/>
        </w:rPr>
        <w:t>博时荣享回报灵活配置定期开放混合型证券投资基金</w:t>
      </w:r>
      <w:bookmarkEnd w:id="22"/>
      <w:r>
        <w:rPr>
          <w:rFonts w:hint="eastAsia"/>
          <w:sz w:val="21"/>
          <w:szCs w:val="21"/>
        </w:rPr>
        <w:t xml:space="preserve">招募说明书》及其更新 </w:t>
      </w:r>
    </w:p>
    <w:p w:rsidR="002C1A0C" w:rsidRDefault="00864859">
      <w:pPr>
        <w:pStyle w:val="a5"/>
        <w:spacing w:before="0" w:beforeAutospacing="0" w:after="0" w:afterAutospacing="0" w:line="360" w:lineRule="auto"/>
        <w:ind w:firstLine="420"/>
        <w:rPr>
          <w:sz w:val="21"/>
          <w:szCs w:val="21"/>
        </w:rPr>
      </w:pPr>
      <w:r>
        <w:rPr>
          <w:rFonts w:hint="eastAsia"/>
          <w:sz w:val="21"/>
          <w:szCs w:val="21"/>
        </w:rPr>
        <w:t>7、基金份额发售公告：指《</w:t>
      </w:r>
      <w:bookmarkStart w:id="23" w:name="field_49_productfullname_9"/>
      <w:r>
        <w:rPr>
          <w:rFonts w:hint="eastAsia"/>
          <w:sz w:val="21"/>
          <w:szCs w:val="21"/>
        </w:rPr>
        <w:t>博时荣享回报灵活配置定期开放混合型证券投资基金</w:t>
      </w:r>
      <w:bookmarkEnd w:id="23"/>
      <w:r>
        <w:rPr>
          <w:rFonts w:hint="eastAsia"/>
          <w:sz w:val="21"/>
          <w:szCs w:val="21"/>
        </w:rPr>
        <w:t xml:space="preserve">基金份额发售公告》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8、基金产品资料概要：指《《博时荣享回报灵活配置定期开放混合型证券投资基金基金产品资料概要》及其更新</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9、法律法规：指中国现行有效并公布实施的法律、行政法规、规范性文件、司法解释、行政规章以及其他对基金合同当事人有约束力的决定、决议、通知等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中华人民共和国港口法&gt;等七部法律的决定》修改的《中华人民共和国证券投资基金法》及颁布机关对其不时做出的修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11、《销售办法》：指中国证监会2013年3月15日颁布、同年6月1日实施的《证券投资基金销售管理办法》及颁布机关对其不时做出的修订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12、《信息披露办法》：指中国证监会2019年7月26日颁布、同年9月1日实施的《公开募集证券投资基金信息披露管理办法》及颁布机关对其不时做出的修订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13、《运作办法》：指中国证监会2014年7月7日颁布、同年8月8日实施的《公开募集证券投资基金运作管理办法》及颁布机关对其不时做出的修订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14、《流动性风险规定》：指中国证监会2017年8月31日颁布、同年10月1日实施的《公开募集开放式证券投资基金流动性风险管理规定》及颁布机关对其不时做出的修订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15、中国证监会：指中国证券监督管理委员会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16、银行业监督管理机构：指中国人民银行和/或中国银行业监督管理委员会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17、基金合同当事人：指受基金合同约束，根据基金合同享有权利并承担义务的法律主体，包括基金管理人、基金托管人和基金份额持有人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18、个人投资者：指依据有关法律法规规定可投资于证券投资基金的自然人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20、合格境外机构投资者：指符合《合格境外机构投资者境内证券投资管理办法》及相关法律法规规定可以投资于在中国境内依法募集的证券投资基金的中国境外的机构投资者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21、投资人：指个人投资者、机构投资者和合格境外机构投资者以及法律法规或中国证监会允许购买证券投资基金的其他投资人的合称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22、基金份额持有人：指依基金合同和招募说明书合法取得基金份额的投资人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23、基金销售业务：指基金管理人或销售机构宣传推介基金，发售基金份额，办理基金份额的申购、赎回、转换、转托管及定期定额投资等业务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24、销售机构：指</w:t>
      </w:r>
      <w:bookmarkStart w:id="24" w:name="field_49_managerorgfullname_2"/>
      <w:r>
        <w:rPr>
          <w:rFonts w:hint="eastAsia"/>
          <w:sz w:val="21"/>
          <w:szCs w:val="21"/>
        </w:rPr>
        <w:t>博时基金管理有限公司</w:t>
      </w:r>
      <w:bookmarkEnd w:id="24"/>
      <w:r>
        <w:rPr>
          <w:rFonts w:hint="eastAsia"/>
          <w:sz w:val="21"/>
          <w:szCs w:val="21"/>
        </w:rPr>
        <w:t xml:space="preserve">以及符合《销售办法》和中国证监会规定的其他条件，取得基金销售业务资格并与基金管理人签订了基金销售服务协议，办理基金销售业务的机构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25、登记业务：指基金登记、存管、过户、清算和结算业务，具体内容包括投资人基金账户的建立和管理、基金份额登记、基金销售业务的确认、清算和结算、代理发放红利、建立并保管基金份额持有人名册和办理非交易过户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26、登记机构：指办理登记业务的机构。基金的登记机构为</w:t>
      </w:r>
      <w:bookmarkStart w:id="25" w:name="field_49_managerorgfullname_3"/>
      <w:r>
        <w:rPr>
          <w:rFonts w:hint="eastAsia"/>
          <w:sz w:val="21"/>
          <w:szCs w:val="21"/>
        </w:rPr>
        <w:t>博时基金管理有限公司</w:t>
      </w:r>
      <w:bookmarkEnd w:id="25"/>
      <w:r>
        <w:rPr>
          <w:rFonts w:hint="eastAsia"/>
          <w:sz w:val="21"/>
          <w:szCs w:val="21"/>
        </w:rPr>
        <w:t>或接受</w:t>
      </w:r>
      <w:bookmarkStart w:id="26" w:name="field_49_managerorgfullname_4"/>
      <w:r>
        <w:rPr>
          <w:rFonts w:hint="eastAsia"/>
          <w:sz w:val="21"/>
          <w:szCs w:val="21"/>
        </w:rPr>
        <w:t>博时基金管理有限公司</w:t>
      </w:r>
      <w:bookmarkEnd w:id="26"/>
      <w:r>
        <w:rPr>
          <w:rFonts w:hint="eastAsia"/>
          <w:sz w:val="21"/>
          <w:szCs w:val="21"/>
        </w:rPr>
        <w:t>委托代为办</w:t>
      </w:r>
      <w:bookmarkStart w:id="27" w:name="chapter_level1_4_49_section_1_end"/>
      <w:bookmarkEnd w:id="27"/>
      <w:r>
        <w:rPr>
          <w:rFonts w:hint="eastAsia"/>
          <w:sz w:val="21"/>
          <w:szCs w:val="21"/>
        </w:rPr>
        <w:t xml:space="preserve">理登记业务的机构 </w:t>
      </w:r>
    </w:p>
    <w:p w:rsidR="002C1A0C" w:rsidRDefault="00864859">
      <w:pPr>
        <w:pStyle w:val="a5"/>
        <w:spacing w:before="0" w:beforeAutospacing="0" w:after="0" w:afterAutospacing="0" w:line="360" w:lineRule="auto"/>
        <w:ind w:firstLine="420"/>
        <w:rPr>
          <w:sz w:val="21"/>
          <w:szCs w:val="21"/>
        </w:rPr>
      </w:pPr>
      <w:bookmarkStart w:id="28" w:name="chapter_level1_4_49_section_2"/>
      <w:bookmarkEnd w:id="28"/>
      <w:r>
        <w:rPr>
          <w:rFonts w:hint="eastAsia"/>
          <w:sz w:val="21"/>
          <w:szCs w:val="21"/>
        </w:rPr>
        <w:t>27、基金账户：指登记机构为投资人开立的、记录其持有的、基金管理人所管理的基金份额余额及其变动情况的账户</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28、基金交易账户：指销售机构为投资人开立的、记录投资人通过该销售机构办理认购、申购、赎回、转换、转托管及定期定额投资等业务而引起的基金份额变动及结余情况的账户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29、基金合同生效日：指基金募集达到法律法规规定及基金合同规定的条件，基金管理人向中国证监会办理基金备案手续完毕，并获得中国证监会书面确认的日期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30、基金合同终止日：指基金合同规定的基金合同终止事由出现后，基金财产清算完毕，清算结果报中国证监会备案并予以公告的日期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31、基金募集期：指自基金份额发售之日起至发售结束之日止的期间，最长不得超过3个月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32、存续期：指基金合同生效至终止之间的不定期期限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33、工作日：指上海证券交易所、深圳证券交易所的正常交易日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34、T日：指销售机构在规定时间受理投资人申购、赎回或其他业务申请的开放日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35、T+n日：指自T日起第n个工作日(不包含T日)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36、封闭期：指自《基金合同》生效之日起（包括《基金合同》生效之日）或自每一开放期结束之日次日起（包括该日）2年的期间。本基金的第一个封闭期为自《基金合同》生效之日起至2年后的对应日（遇非工作日顺延至下一个工作日）的前一日的期间。下一个封闭期为首个开放期结束之日次日起至2年后的对应日（遇非工作日顺延至下一个工作日）的前一日的期间，以此类推。如该对应日不存在对应日期的，则顺延至下一日。本基金封闭期内不办理申购与赎回业务，也不上市交易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37、开放期：指自每个封闭期结束之日后第一个工作日起（含该日）五至二十个工作日，具体期间由基金管理人在封闭期结束前公告说明。开放期内，本基金采取开放运作模式，投资人可办理基金份额申购、赎回或其他业务，开放期未赎回的份额将自动转入下一个封闭期。如在开放期内发生不可抗力或其他情形致使基金无法按时开放或需依据《基金合同》暂停申购与赎回业务的，基金管理人有权合理调整申购或赎回业务的办理期间并予以公告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38、开放日：指为投资人办理基金份额申购、赎回或其他业务的工作日（若本基金参与港股通交易且该工作日为非港股通交易日时，则基金管理人可根据实际情况决定本基金是否开放申购、赎回及转换业务，具体以届时提前发布的公告为准）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39、开放时间：指开放日基金接受申购、赎回或其他业务的时间段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40、《业务规则》：指《</w:t>
      </w:r>
      <w:bookmarkStart w:id="29" w:name="field_49_managerorgfullname_5"/>
      <w:r>
        <w:rPr>
          <w:rFonts w:hint="eastAsia"/>
          <w:sz w:val="21"/>
          <w:szCs w:val="21"/>
        </w:rPr>
        <w:t>博时基金管理有限公司</w:t>
      </w:r>
      <w:bookmarkEnd w:id="29"/>
      <w:r>
        <w:rPr>
          <w:rFonts w:hint="eastAsia"/>
          <w:sz w:val="21"/>
          <w:szCs w:val="21"/>
        </w:rPr>
        <w:t xml:space="preserve">开放式基金业务规则》，是规范基金管理人所管理的开放式证券投资基金登记方面的业务规则，由基金管理人和投资人共同遵守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41、认购：指在基金募集期内，投资人根据基金合同和招募说明书的规定申请购买基金份额的行为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42、申购：指基金合同生效后，投资人根据基金合同和招募说明书的规定申请购买基金份额的行为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43、赎回：指基金合同生效后，基金份额持有人按基金合同和招募说明书规定的条件要求将基金份额兑换为现金的行为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44、基金转换：指基金份额持有人按照基金合同和基金管理人届时有效公告规定的条件，申请将其持有基金管理人管理的、某一基金的基金份额转换为基金管理人管理的其他基金基金份额的行为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45、转托管：指基金份额持有人在本基金的不同销售机构之间实施的变更所持基金份额销售机构的操作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46、定期定额投资计划：指投资人通过有关销售机构提出申请，约定每期申购日、扣款金额及扣款方式，由销售机构于每期约定扣款日在投资人指定银行账户内自动完成扣款及受理基金申购申请的一种投资方式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47、巨额赎回：指本基金单个开放日，基金净赎回申请(赎回申请份额总数加上基金转换中转出申请份额总数后扣除申购申请份额总数及基金转换中转入申请份额总数后的余额)超过上一工作日基金总份额的</w:t>
      </w:r>
      <w:bookmarkStart w:id="30" w:name="field_49_mintredeemscale_1"/>
      <w:r>
        <w:rPr>
          <w:sz w:val="21"/>
          <w:szCs w:val="21"/>
        </w:rPr>
        <w:t xml:space="preserve"> 20</w:t>
      </w:r>
      <w:bookmarkEnd w:id="30"/>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48、元：指人民币元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49、基金收益：指基金投资所得红利、股息、债券利息、买卖证券价差、银行存款利息、已实现的其他合法收入及因运用基金财产带来的成本和费用的节约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50、基金资产总值：指基金拥有的各类有价证券、银行存款本息、基金应收款项及其他资产的价值总和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51、基金资产净值：指基金资产总值减去基金负债后的价值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52、基金份额净值：指计算日基金资产净值除以计算日基金份额总数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53、基金资产估值：指计算评估基金资产和负债的价值，以确定基金资产净值和基金份额净值的过程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54、内地与香港股票市场交易互联互通机制：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以下简称沪港通）和深港股票市场交易互联互通机制（以下简称深港通） </w:t>
      </w:r>
    </w:p>
    <w:p w:rsidR="002C1A0C" w:rsidRDefault="00864859">
      <w:pPr>
        <w:pStyle w:val="a5"/>
        <w:spacing w:before="0" w:beforeAutospacing="0" w:after="0" w:afterAutospacing="0" w:line="360" w:lineRule="auto"/>
        <w:ind w:firstLine="420"/>
        <w:rPr>
          <w:sz w:val="21"/>
          <w:szCs w:val="21"/>
        </w:rPr>
      </w:pPr>
      <w:r>
        <w:rPr>
          <w:rFonts w:hint="eastAsia"/>
          <w:sz w:val="21"/>
          <w:szCs w:val="21"/>
        </w:rPr>
        <w:t>55、港股通：指内地投资者委托内地证券公司，经由上海证券交易所、深圳证券交易所或经中国证监会认可的机构设立的证券交易服务公司，向香港联合交易所有限公司（以下简</w:t>
      </w:r>
      <w:r>
        <w:rPr>
          <w:rFonts w:hint="eastAsia"/>
          <w:sz w:val="21"/>
          <w:szCs w:val="21"/>
        </w:rPr>
        <w:lastRenderedPageBreak/>
        <w:t xml:space="preserve">称“香港联合交易所”）进行申报，买卖沪港通、深港通规定范围内的香港联合交易所上市的股票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57、摆动定价机制：指当本基金各类份额遭遇大额申购赎回时，通过调整基金份额净值的方式，将基金调整投资组合的市场冲击成本分配给实际申购、赎回的投资者，从而减少对存量基金份额持有人利益的不利影响，确保投资者的合法权益不受损害并得到公平对待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58、基金份额的类别：指本基金根据认购费、申购费及销售服务费收取方式的不同，将基金份额分为不同的类别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59、A类基金份额：指在投资者认购、申购时收取认购、申购费用，在赎回时根据持有期限收取赎回费用，但不计提销售服务费的基金份额，称为A类基金份额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60、C类基金份额：指在投资者认购、申购时不收取认购、申购费用，在赎回时根据持有期限收取赎回费用，且从本类别基金资产中计提销售服务费的基金份额，称为C类基金份额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61、指定媒介：指中国证监会指定的用以进行信息披露的全国性报刊及指定互联网网站（包括基金管理人网站、基金托管人网站、中国证监会基金电子披露网站）等媒介 </w:t>
      </w:r>
    </w:p>
    <w:p w:rsidR="002C1A0C" w:rsidRDefault="00864859">
      <w:pPr>
        <w:pStyle w:val="a5"/>
        <w:spacing w:before="0" w:beforeAutospacing="0" w:after="0" w:afterAutospacing="0" w:line="360" w:lineRule="auto"/>
        <w:ind w:firstLine="420"/>
        <w:jc w:val="both"/>
        <w:rPr>
          <w:sz w:val="21"/>
          <w:szCs w:val="21"/>
        </w:rPr>
      </w:pPr>
      <w:bookmarkStart w:id="31" w:name="chapter_level1_4_49_section_2_end"/>
      <w:bookmarkEnd w:id="31"/>
      <w:r>
        <w:rPr>
          <w:rFonts w:hint="eastAsia"/>
          <w:sz w:val="21"/>
          <w:szCs w:val="21"/>
        </w:rPr>
        <w:t xml:space="preserve">62、不可抗力：指基金合同当事人不能预见、不能避免且不能克服的客观事件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32" w:name="chapter_level1_5_53"/>
      <w:bookmarkStart w:id="33" w:name="_Toc27511765"/>
      <w:r>
        <w:rPr>
          <w:rFonts w:ascii="宋体" w:eastAsia="宋体" w:hAnsi="宋体" w:hint="eastAsia"/>
          <w:sz w:val="30"/>
        </w:rPr>
        <w:lastRenderedPageBreak/>
        <w:t>第三部分  基金管理人</w:t>
      </w:r>
      <w:bookmarkEnd w:id="32"/>
      <w:bookmarkEnd w:id="33"/>
    </w:p>
    <w:p w:rsidR="002C1A0C" w:rsidRDefault="00864859">
      <w:pPr>
        <w:pStyle w:val="a5"/>
        <w:spacing w:before="0" w:beforeAutospacing="0" w:after="0" w:afterAutospacing="0" w:line="360" w:lineRule="auto"/>
        <w:ind w:firstLine="420"/>
        <w:rPr>
          <w:sz w:val="21"/>
          <w:szCs w:val="21"/>
        </w:rPr>
      </w:pPr>
      <w:bookmarkStart w:id="34" w:name="chapter_level1_5_53_section_1"/>
      <w:bookmarkEnd w:id="34"/>
      <w:r>
        <w:rPr>
          <w:rStyle w:val="a7"/>
          <w:rFonts w:hint="eastAsia"/>
          <w:sz w:val="21"/>
          <w:szCs w:val="21"/>
        </w:rPr>
        <w:t>一、基金管理人概况</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35" w:name="field_0_managercompanyinfo_1_start"/>
      <w:bookmarkEnd w:id="35"/>
      <w:r>
        <w:rPr>
          <w:rFonts w:hint="eastAsia"/>
          <w:sz w:val="21"/>
          <w:szCs w:val="21"/>
        </w:rPr>
        <w:t>名称：</w:t>
      </w:r>
      <w:r>
        <w:rPr>
          <w:sz w:val="21"/>
          <w:szCs w:val="21"/>
        </w:rPr>
        <w:t xml:space="preserve"> </w:t>
      </w:r>
      <w:r>
        <w:rPr>
          <w:rFonts w:hint="eastAsia"/>
          <w:sz w:val="21"/>
          <w:szCs w:val="21"/>
        </w:rPr>
        <w:t xml:space="preserve">博时基金管理有限公司 </w:t>
      </w:r>
    </w:p>
    <w:p w:rsidR="002C1A0C" w:rsidRDefault="00864859">
      <w:pPr>
        <w:pStyle w:val="a5"/>
        <w:spacing w:before="0" w:beforeAutospacing="0" w:after="0" w:afterAutospacing="0" w:line="360" w:lineRule="auto"/>
        <w:ind w:firstLine="420"/>
        <w:rPr>
          <w:sz w:val="21"/>
          <w:szCs w:val="21"/>
        </w:rPr>
      </w:pPr>
      <w:r>
        <w:rPr>
          <w:rFonts w:hint="eastAsia"/>
          <w:sz w:val="21"/>
          <w:szCs w:val="21"/>
        </w:rPr>
        <w:t>住所：</w:t>
      </w:r>
      <w:r>
        <w:rPr>
          <w:sz w:val="21"/>
          <w:szCs w:val="21"/>
        </w:rPr>
        <w:t xml:space="preserve"> </w:t>
      </w:r>
      <w:r>
        <w:rPr>
          <w:rFonts w:hint="eastAsia"/>
          <w:sz w:val="21"/>
          <w:szCs w:val="21"/>
        </w:rPr>
        <w:t xml:space="preserve">深圳市福田区莲花街道福新社区益田路5999号基金大厦21层 </w:t>
      </w:r>
    </w:p>
    <w:p w:rsidR="002C1A0C" w:rsidRDefault="00864859">
      <w:pPr>
        <w:pStyle w:val="a5"/>
        <w:spacing w:before="0" w:beforeAutospacing="0" w:after="0" w:afterAutospacing="0" w:line="360" w:lineRule="auto"/>
        <w:ind w:firstLine="420"/>
        <w:rPr>
          <w:sz w:val="21"/>
          <w:szCs w:val="21"/>
        </w:rPr>
      </w:pPr>
      <w:r>
        <w:rPr>
          <w:rFonts w:hint="eastAsia"/>
          <w:sz w:val="21"/>
          <w:szCs w:val="21"/>
        </w:rPr>
        <w:t>办公地址：</w:t>
      </w:r>
      <w:r>
        <w:rPr>
          <w:sz w:val="21"/>
          <w:szCs w:val="21"/>
        </w:rPr>
        <w:t xml:space="preserve"> </w:t>
      </w:r>
      <w:r>
        <w:rPr>
          <w:rFonts w:hint="eastAsia"/>
          <w:sz w:val="21"/>
          <w:szCs w:val="21"/>
        </w:rPr>
        <w:t xml:space="preserve">广东省深圳市福田区益田路5999号基金大厦21层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法定代表人：张光华 </w:t>
      </w:r>
    </w:p>
    <w:p w:rsidR="002C1A0C" w:rsidRDefault="00864859">
      <w:pPr>
        <w:pStyle w:val="a5"/>
        <w:spacing w:before="0" w:beforeAutospacing="0" w:after="0" w:afterAutospacing="0" w:line="360" w:lineRule="auto"/>
        <w:ind w:firstLine="420"/>
        <w:rPr>
          <w:sz w:val="21"/>
          <w:szCs w:val="21"/>
        </w:rPr>
      </w:pPr>
      <w:r>
        <w:rPr>
          <w:rFonts w:hint="eastAsia"/>
          <w:sz w:val="21"/>
          <w:szCs w:val="21"/>
        </w:rPr>
        <w:t>成立时间：</w:t>
      </w:r>
      <w:r>
        <w:rPr>
          <w:sz w:val="21"/>
          <w:szCs w:val="21"/>
        </w:rPr>
        <w:t xml:space="preserve">  </w:t>
      </w:r>
      <w:r>
        <w:rPr>
          <w:rFonts w:hint="eastAsia"/>
          <w:sz w:val="21"/>
          <w:szCs w:val="21"/>
        </w:rPr>
        <w:t xml:space="preserve">1998年7月13日 </w:t>
      </w:r>
    </w:p>
    <w:p w:rsidR="002C1A0C" w:rsidRDefault="00864859">
      <w:pPr>
        <w:pStyle w:val="a5"/>
        <w:spacing w:before="0" w:beforeAutospacing="0" w:after="0" w:afterAutospacing="0" w:line="360" w:lineRule="auto"/>
        <w:ind w:firstLine="420"/>
        <w:rPr>
          <w:sz w:val="21"/>
          <w:szCs w:val="21"/>
        </w:rPr>
      </w:pPr>
      <w:r>
        <w:rPr>
          <w:rFonts w:hint="eastAsia"/>
          <w:sz w:val="21"/>
          <w:szCs w:val="21"/>
        </w:rPr>
        <w:t>注册资本：</w:t>
      </w:r>
      <w:r>
        <w:rPr>
          <w:sz w:val="21"/>
          <w:szCs w:val="21"/>
        </w:rPr>
        <w:t xml:space="preserve">  </w:t>
      </w:r>
      <w:r>
        <w:rPr>
          <w:rFonts w:hint="eastAsia"/>
          <w:sz w:val="21"/>
          <w:szCs w:val="21"/>
        </w:rPr>
        <w:t xml:space="preserve">2.5亿元人民币 </w:t>
      </w:r>
    </w:p>
    <w:p w:rsidR="002C1A0C" w:rsidRDefault="00864859">
      <w:pPr>
        <w:pStyle w:val="a5"/>
        <w:spacing w:before="0" w:beforeAutospacing="0" w:after="0" w:afterAutospacing="0" w:line="360" w:lineRule="auto"/>
        <w:ind w:firstLine="420"/>
        <w:rPr>
          <w:sz w:val="21"/>
          <w:szCs w:val="21"/>
        </w:rPr>
      </w:pPr>
      <w:r>
        <w:rPr>
          <w:rFonts w:hint="eastAsia"/>
          <w:sz w:val="21"/>
          <w:szCs w:val="21"/>
        </w:rPr>
        <w:t>存续期间：</w:t>
      </w:r>
      <w:r>
        <w:rPr>
          <w:sz w:val="21"/>
          <w:szCs w:val="21"/>
        </w:rPr>
        <w:t xml:space="preserve"> </w:t>
      </w:r>
      <w:r>
        <w:rPr>
          <w:rFonts w:hint="eastAsia"/>
          <w:sz w:val="21"/>
          <w:szCs w:val="21"/>
        </w:rPr>
        <w:t xml:space="preserve">持续经营 </w:t>
      </w:r>
    </w:p>
    <w:p w:rsidR="002C1A0C" w:rsidRDefault="00864859">
      <w:pPr>
        <w:pStyle w:val="a5"/>
        <w:spacing w:before="0" w:beforeAutospacing="0" w:after="0" w:afterAutospacing="0" w:line="360" w:lineRule="auto"/>
        <w:ind w:firstLine="420"/>
        <w:rPr>
          <w:sz w:val="21"/>
          <w:szCs w:val="21"/>
        </w:rPr>
      </w:pPr>
      <w:r>
        <w:rPr>
          <w:rFonts w:hint="eastAsia"/>
          <w:sz w:val="21"/>
          <w:szCs w:val="21"/>
        </w:rPr>
        <w:t>联系人：</w:t>
      </w:r>
      <w:r>
        <w:rPr>
          <w:sz w:val="21"/>
          <w:szCs w:val="21"/>
        </w:rPr>
        <w:t xml:space="preserve">   </w:t>
      </w:r>
      <w:r>
        <w:rPr>
          <w:rFonts w:hint="eastAsia"/>
          <w:sz w:val="21"/>
          <w:szCs w:val="21"/>
        </w:rPr>
        <w:t xml:space="preserve">韩强 </w:t>
      </w:r>
    </w:p>
    <w:p w:rsidR="002C1A0C" w:rsidRDefault="00864859">
      <w:pPr>
        <w:pStyle w:val="a5"/>
        <w:spacing w:before="0" w:beforeAutospacing="0" w:after="0" w:afterAutospacing="0" w:line="360" w:lineRule="auto"/>
        <w:ind w:firstLine="420"/>
        <w:rPr>
          <w:sz w:val="21"/>
          <w:szCs w:val="21"/>
        </w:rPr>
      </w:pPr>
      <w:r>
        <w:rPr>
          <w:rFonts w:hint="eastAsia"/>
          <w:sz w:val="21"/>
          <w:szCs w:val="21"/>
        </w:rPr>
        <w:t>联系电话：</w:t>
      </w:r>
      <w:r>
        <w:rPr>
          <w:sz w:val="21"/>
          <w:szCs w:val="21"/>
        </w:rPr>
        <w:t xml:space="preserve"> </w:t>
      </w:r>
      <w:r>
        <w:rPr>
          <w:rFonts w:hint="eastAsia"/>
          <w:sz w:val="21"/>
          <w:szCs w:val="21"/>
        </w:rPr>
        <w:t>（0755）8316</w:t>
      </w:r>
      <w:r>
        <w:rPr>
          <w:sz w:val="21"/>
          <w:szCs w:val="21"/>
        </w:rPr>
        <w:t xml:space="preserve"> </w:t>
      </w:r>
      <w:r>
        <w:rPr>
          <w:rFonts w:hint="eastAsia"/>
          <w:sz w:val="21"/>
          <w:szCs w:val="21"/>
        </w:rPr>
        <w:t xml:space="preserve">9999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公司设立了投资决策委员会。投资决策委员会负责指导基金资产的运作、确定基本的投资策略和投资组合的原则。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公司下设两大总部和三十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央企业务部、互联网金融部、董事会办公室、办公室、人力资源部、财务部、信息技术部、基金运作部、风险管理部和监察法律部。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益总部负责公司所管理资产的固定收益投资管理及相关工作。固定收益总部下设现金管理组、</w:t>
      </w:r>
      <w:r>
        <w:rPr>
          <w:rFonts w:hint="eastAsia"/>
          <w:sz w:val="21"/>
          <w:szCs w:val="21"/>
        </w:rPr>
        <w:lastRenderedPageBreak/>
        <w:t xml:space="preserve">公募基金组、专户组、指数与创新组、国际组和研究组，分别负责各类固定收益资产的研究和投资工作。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台运作协调、相关信息服务等工作。券商业务部负责券商渠道的开拓和销售服务、大宗交易业务、融券业务、做市商业务、股指期货业务等工作。零售-北京、零售-上海、零售-南方、零售-西部负责公司全国范围内零售客户的渠道销售和服务。央企业务部负责招商局集团签约机构客户、重要中央企业及其财务公司等客户的拓展、合作业务落地与服务等工作。销售管理部负责总行渠道维护，零售产品营销组织、销售督导；营销策划及公募销售支持；营销培训管理；渠道代销支持与服务；零售体系的绩效考核与费用管理等工作。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宏观策略部负责为投委会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规划部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客户服务中心负责电话与网络咨询与服务；呼出业务与电话营销理财；营销系统数据维护与挖掘；直销柜台业务；专户合同及备案管理、机构售前支持；专户中台服务与运营支持等工作。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w:t>
      </w:r>
      <w:r>
        <w:rPr>
          <w:rFonts w:hint="eastAsia"/>
          <w:sz w:val="21"/>
          <w:szCs w:val="21"/>
        </w:rPr>
        <w:lastRenderedPageBreak/>
        <w:t xml:space="preserve">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截止到2019年9月30日，公司总人数为593人，其中研究员和基金经理超过90%拥有硕士及以上学位。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6" w:name="field_0_managercompanyinfo_1_end"/>
      <w:bookmarkEnd w:id="36"/>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jc w:val="both"/>
        <w:rPr>
          <w:sz w:val="21"/>
          <w:szCs w:val="21"/>
        </w:rPr>
      </w:pPr>
      <w:r>
        <w:rPr>
          <w:rStyle w:val="a7"/>
          <w:rFonts w:hint="eastAsia"/>
          <w:sz w:val="21"/>
          <w:szCs w:val="21"/>
        </w:rPr>
        <w:t>二、主要成员情况</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jc w:val="both"/>
        <w:rPr>
          <w:sz w:val="21"/>
          <w:szCs w:val="21"/>
        </w:rPr>
      </w:pPr>
      <w:bookmarkStart w:id="37" w:name="field_0_managerpersoninfo_1_start"/>
      <w:bookmarkEnd w:id="37"/>
      <w:r>
        <w:rPr>
          <w:rFonts w:hint="eastAsia"/>
          <w:sz w:val="21"/>
          <w:szCs w:val="21"/>
        </w:rPr>
        <w:t xml:space="preserve">1、基金管理人董事会成员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张光华先生，博士，董事长。历任国家外汇管理局政研室副主任，计划处处长，中国人民银行海南省分行副行长、党委委员，中国人民银行广州分行副行长、党委副书记，广东发展银行行长、党委副书记，招商银行副行长、执行董事、副董事长、党委副书记，在招商银行任职期间曾兼任永隆银行副董事长、招商基金管理有限公司董事长、招商信诺人寿保险有限公司董事长、招银国际金融有限公司董事长、招银金融租赁有限公司董事长。2015年8月起，任博时基金管理有限公司董事长暨法定代表人。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江向阳先生，董事。2015年7月起任博时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w:t>
      </w:r>
      <w:r>
        <w:rPr>
          <w:rFonts w:hint="eastAsia"/>
          <w:sz w:val="21"/>
          <w:szCs w:val="21"/>
        </w:rPr>
        <w:lastRenderedPageBreak/>
        <w:t xml:space="preserve">主任兼新闻办（网信办）主任；中国证监会办公厅副巡视员；中国证监会深圳专员办处长、副专员；中国证监会期货监管部副处长、处长；中国农业工程研究设计院情报室干部。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苏敏女士,分别于1990</w:t>
      </w:r>
      <w:r>
        <w:rPr>
          <w:sz w:val="21"/>
          <w:szCs w:val="21"/>
        </w:rPr>
        <w:t xml:space="preserve"> </w:t>
      </w:r>
      <w:r>
        <w:rPr>
          <w:rFonts w:hint="eastAsia"/>
          <w:sz w:val="21"/>
          <w:szCs w:val="21"/>
        </w:rPr>
        <w:t>年7</w:t>
      </w:r>
      <w:r>
        <w:rPr>
          <w:sz w:val="21"/>
          <w:szCs w:val="21"/>
        </w:rPr>
        <w:t xml:space="preserve"> </w:t>
      </w:r>
      <w:r>
        <w:rPr>
          <w:rFonts w:hint="eastAsia"/>
          <w:sz w:val="21"/>
          <w:szCs w:val="21"/>
        </w:rPr>
        <w:t>月及2002</w:t>
      </w:r>
      <w:r>
        <w:rPr>
          <w:sz w:val="21"/>
          <w:szCs w:val="21"/>
        </w:rPr>
        <w:t xml:space="preserve"> </w:t>
      </w:r>
      <w:r>
        <w:rPr>
          <w:rFonts w:hint="eastAsia"/>
          <w:sz w:val="21"/>
          <w:szCs w:val="21"/>
        </w:rPr>
        <w:t>年12</w:t>
      </w:r>
      <w:r>
        <w:rPr>
          <w:sz w:val="21"/>
          <w:szCs w:val="21"/>
        </w:rPr>
        <w:t xml:space="preserve"> </w:t>
      </w:r>
      <w:r>
        <w:rPr>
          <w:rFonts w:hint="eastAsia"/>
          <w:sz w:val="21"/>
          <w:szCs w:val="21"/>
        </w:rPr>
        <w:t>月获得上海财经大学金融专业学士学位和中国科学技术大学工商管理硕士学位。苏女士分别于1998</w:t>
      </w:r>
      <w:r>
        <w:rPr>
          <w:sz w:val="21"/>
          <w:szCs w:val="21"/>
        </w:rPr>
        <w:t xml:space="preserve"> </w:t>
      </w:r>
      <w:r>
        <w:rPr>
          <w:rFonts w:hint="eastAsia"/>
          <w:sz w:val="21"/>
          <w:szCs w:val="21"/>
        </w:rPr>
        <w:t>年6</w:t>
      </w:r>
      <w:r>
        <w:rPr>
          <w:sz w:val="21"/>
          <w:szCs w:val="21"/>
        </w:rPr>
        <w:t xml:space="preserve"> </w:t>
      </w:r>
      <w:r>
        <w:rPr>
          <w:rFonts w:hint="eastAsia"/>
          <w:sz w:val="21"/>
          <w:szCs w:val="21"/>
        </w:rPr>
        <w:t>月、1999</w:t>
      </w:r>
      <w:r>
        <w:rPr>
          <w:sz w:val="21"/>
          <w:szCs w:val="21"/>
        </w:rPr>
        <w:t xml:space="preserve"> </w:t>
      </w:r>
      <w:r>
        <w:rPr>
          <w:rFonts w:hint="eastAsia"/>
          <w:sz w:val="21"/>
          <w:szCs w:val="21"/>
        </w:rPr>
        <w:t>年6</w:t>
      </w:r>
      <w:r>
        <w:rPr>
          <w:sz w:val="21"/>
          <w:szCs w:val="21"/>
        </w:rPr>
        <w:t xml:space="preserve"> </w:t>
      </w:r>
      <w:r>
        <w:rPr>
          <w:rFonts w:hint="eastAsia"/>
          <w:sz w:val="21"/>
          <w:szCs w:val="21"/>
        </w:rPr>
        <w:t>月及2008</w:t>
      </w:r>
      <w:r>
        <w:rPr>
          <w:sz w:val="21"/>
          <w:szCs w:val="21"/>
        </w:rPr>
        <w:t xml:space="preserve"> </w:t>
      </w:r>
      <w:r>
        <w:rPr>
          <w:rFonts w:hint="eastAsia"/>
          <w:sz w:val="21"/>
          <w:szCs w:val="21"/>
        </w:rPr>
        <w:t>年6</w:t>
      </w:r>
      <w:r>
        <w:rPr>
          <w:sz w:val="21"/>
          <w:szCs w:val="21"/>
        </w:rPr>
        <w:t xml:space="preserve"> </w:t>
      </w:r>
      <w:r>
        <w:rPr>
          <w:rFonts w:hint="eastAsia"/>
          <w:sz w:val="21"/>
          <w:szCs w:val="21"/>
        </w:rPr>
        <w:t>月获中国注册会计师协会授予的注册会计师资格、中国资产评估协会授予的注册资产评估师资格及安徽省人力资源和社会保障厅授予的高级会计师职称。苏女士拥有管理金融类公司及上市公司的经验，其经验包括：自2015</w:t>
      </w:r>
      <w:r>
        <w:rPr>
          <w:sz w:val="21"/>
          <w:szCs w:val="21"/>
        </w:rPr>
        <w:t xml:space="preserve"> </w:t>
      </w:r>
      <w:r>
        <w:rPr>
          <w:rFonts w:hint="eastAsia"/>
          <w:sz w:val="21"/>
          <w:szCs w:val="21"/>
        </w:rPr>
        <w:t>年9</w:t>
      </w:r>
      <w:r>
        <w:rPr>
          <w:sz w:val="21"/>
          <w:szCs w:val="21"/>
        </w:rPr>
        <w:t xml:space="preserve"> </w:t>
      </w:r>
      <w:r>
        <w:rPr>
          <w:rFonts w:hint="eastAsia"/>
          <w:sz w:val="21"/>
          <w:szCs w:val="21"/>
        </w:rPr>
        <w:t>月及2015</w:t>
      </w:r>
      <w:r>
        <w:rPr>
          <w:sz w:val="21"/>
          <w:szCs w:val="21"/>
        </w:rPr>
        <w:t xml:space="preserve"> </w:t>
      </w:r>
      <w:r>
        <w:rPr>
          <w:rFonts w:hint="eastAsia"/>
          <w:sz w:val="21"/>
          <w:szCs w:val="21"/>
        </w:rPr>
        <w:t>年12</w:t>
      </w:r>
      <w:r>
        <w:rPr>
          <w:sz w:val="21"/>
          <w:szCs w:val="21"/>
        </w:rPr>
        <w:t xml:space="preserve"> </w:t>
      </w:r>
      <w:r>
        <w:rPr>
          <w:rFonts w:hint="eastAsia"/>
          <w:sz w:val="21"/>
          <w:szCs w:val="21"/>
        </w:rPr>
        <w:t>月起任招商局金融集团有限公司总经理及董事；自2016年6月起任招商证券股份有限公司（上海证券交易所上市公司，股票代码：600999；香港联交所上市公司，股票代码：6099）董事；自2014</w:t>
      </w:r>
      <w:r>
        <w:rPr>
          <w:sz w:val="21"/>
          <w:szCs w:val="21"/>
        </w:rPr>
        <w:t xml:space="preserve"> </w:t>
      </w:r>
      <w:r>
        <w:rPr>
          <w:rFonts w:hint="eastAsia"/>
          <w:sz w:val="21"/>
          <w:szCs w:val="21"/>
        </w:rPr>
        <w:t>年9</w:t>
      </w:r>
      <w:r>
        <w:rPr>
          <w:sz w:val="21"/>
          <w:szCs w:val="21"/>
        </w:rPr>
        <w:t xml:space="preserve"> </w:t>
      </w:r>
      <w:r>
        <w:rPr>
          <w:rFonts w:hint="eastAsia"/>
          <w:sz w:val="21"/>
          <w:szCs w:val="21"/>
        </w:rPr>
        <w:t>月起担任招商银行股份有限公司（上海证券交易所上市公司，股票代码：600036；香港联交所上市公司，股票代码：3968）董事。自2016</w:t>
      </w:r>
      <w:r>
        <w:rPr>
          <w:sz w:val="21"/>
          <w:szCs w:val="21"/>
        </w:rPr>
        <w:t xml:space="preserve"> </w:t>
      </w:r>
      <w:r>
        <w:rPr>
          <w:rFonts w:hint="eastAsia"/>
          <w:sz w:val="21"/>
          <w:szCs w:val="21"/>
        </w:rPr>
        <w:t>年1</w:t>
      </w:r>
      <w:r>
        <w:rPr>
          <w:sz w:val="21"/>
          <w:szCs w:val="21"/>
        </w:rPr>
        <w:t xml:space="preserve"> </w:t>
      </w:r>
      <w:r>
        <w:rPr>
          <w:rFonts w:hint="eastAsia"/>
          <w:sz w:val="21"/>
          <w:szCs w:val="21"/>
        </w:rPr>
        <w:t>月至2018年8月任招商局资本投资有限责任公司监事；自2015</w:t>
      </w:r>
      <w:r>
        <w:rPr>
          <w:sz w:val="21"/>
          <w:szCs w:val="21"/>
        </w:rPr>
        <w:t xml:space="preserve"> </w:t>
      </w:r>
      <w:r>
        <w:rPr>
          <w:rFonts w:hint="eastAsia"/>
          <w:sz w:val="21"/>
          <w:szCs w:val="21"/>
        </w:rPr>
        <w:t>年11</w:t>
      </w:r>
      <w:r>
        <w:rPr>
          <w:sz w:val="21"/>
          <w:szCs w:val="21"/>
        </w:rPr>
        <w:t xml:space="preserve"> </w:t>
      </w:r>
      <w:r>
        <w:rPr>
          <w:rFonts w:hint="eastAsia"/>
          <w:sz w:val="21"/>
          <w:szCs w:val="21"/>
        </w:rPr>
        <w:t>月至2018年8月任招商局创新投资管理有限公司董事；自2015</w:t>
      </w:r>
      <w:r>
        <w:rPr>
          <w:sz w:val="21"/>
          <w:szCs w:val="21"/>
        </w:rPr>
        <w:t xml:space="preserve"> </w:t>
      </w:r>
      <w:r>
        <w:rPr>
          <w:rFonts w:hint="eastAsia"/>
          <w:sz w:val="21"/>
          <w:szCs w:val="21"/>
        </w:rPr>
        <w:t>年11</w:t>
      </w:r>
      <w:r>
        <w:rPr>
          <w:sz w:val="21"/>
          <w:szCs w:val="21"/>
        </w:rPr>
        <w:t xml:space="preserve"> </w:t>
      </w:r>
      <w:r>
        <w:rPr>
          <w:rFonts w:hint="eastAsia"/>
          <w:sz w:val="21"/>
          <w:szCs w:val="21"/>
        </w:rPr>
        <w:t>月至2017</w:t>
      </w:r>
      <w:r>
        <w:rPr>
          <w:sz w:val="21"/>
          <w:szCs w:val="21"/>
        </w:rPr>
        <w:t xml:space="preserve"> </w:t>
      </w:r>
      <w:r>
        <w:rPr>
          <w:rFonts w:hint="eastAsia"/>
          <w:sz w:val="21"/>
          <w:szCs w:val="21"/>
        </w:rPr>
        <w:t>年4</w:t>
      </w:r>
      <w:r>
        <w:rPr>
          <w:sz w:val="21"/>
          <w:szCs w:val="21"/>
        </w:rPr>
        <w:t xml:space="preserve"> </w:t>
      </w:r>
      <w:r>
        <w:rPr>
          <w:rFonts w:hint="eastAsia"/>
          <w:sz w:val="21"/>
          <w:szCs w:val="21"/>
        </w:rPr>
        <w:t>月任深圳招商启航互联网投资管理有限公司董事长；自2013</w:t>
      </w:r>
      <w:r>
        <w:rPr>
          <w:sz w:val="21"/>
          <w:szCs w:val="21"/>
        </w:rPr>
        <w:t xml:space="preserve"> </w:t>
      </w:r>
      <w:r>
        <w:rPr>
          <w:rFonts w:hint="eastAsia"/>
          <w:sz w:val="21"/>
          <w:szCs w:val="21"/>
        </w:rPr>
        <w:t>年5</w:t>
      </w:r>
      <w:r>
        <w:rPr>
          <w:sz w:val="21"/>
          <w:szCs w:val="21"/>
        </w:rPr>
        <w:t xml:space="preserve"> </w:t>
      </w:r>
      <w:r>
        <w:rPr>
          <w:rFonts w:hint="eastAsia"/>
          <w:sz w:val="21"/>
          <w:szCs w:val="21"/>
        </w:rPr>
        <w:t>月至2015</w:t>
      </w:r>
      <w:r>
        <w:rPr>
          <w:sz w:val="21"/>
          <w:szCs w:val="21"/>
        </w:rPr>
        <w:t xml:space="preserve"> </w:t>
      </w:r>
      <w:r>
        <w:rPr>
          <w:rFonts w:hint="eastAsia"/>
          <w:sz w:val="21"/>
          <w:szCs w:val="21"/>
        </w:rPr>
        <w:t>年8</w:t>
      </w:r>
      <w:r>
        <w:rPr>
          <w:sz w:val="21"/>
          <w:szCs w:val="21"/>
        </w:rPr>
        <w:t xml:space="preserve"> </w:t>
      </w:r>
      <w:r>
        <w:rPr>
          <w:rFonts w:hint="eastAsia"/>
          <w:sz w:val="21"/>
          <w:szCs w:val="21"/>
        </w:rPr>
        <w:t>月任中远海运能源运输股份有限公司（上海证券交易所上市公司，股票代码：600026；香港联交所上市公司，股票代码：1138）董事；自2013</w:t>
      </w:r>
      <w:r>
        <w:rPr>
          <w:sz w:val="21"/>
          <w:szCs w:val="21"/>
        </w:rPr>
        <w:t xml:space="preserve"> </w:t>
      </w:r>
      <w:r>
        <w:rPr>
          <w:rFonts w:hint="eastAsia"/>
          <w:sz w:val="21"/>
          <w:szCs w:val="21"/>
        </w:rPr>
        <w:t>年6月至2015</w:t>
      </w:r>
      <w:r>
        <w:rPr>
          <w:sz w:val="21"/>
          <w:szCs w:val="21"/>
        </w:rPr>
        <w:t xml:space="preserve"> </w:t>
      </w:r>
      <w:r>
        <w:rPr>
          <w:rFonts w:hint="eastAsia"/>
          <w:sz w:val="21"/>
          <w:szCs w:val="21"/>
        </w:rPr>
        <w:t>年12</w:t>
      </w:r>
      <w:r>
        <w:rPr>
          <w:sz w:val="21"/>
          <w:szCs w:val="21"/>
        </w:rPr>
        <w:t xml:space="preserve"> </w:t>
      </w:r>
      <w:r>
        <w:rPr>
          <w:rFonts w:hint="eastAsia"/>
          <w:sz w:val="21"/>
          <w:szCs w:val="21"/>
        </w:rPr>
        <w:t>月任中远海运发展股份有限公司（上海证券交易所上市公司，股票代码：601866；香港联交所上市公司，股票代码：2866）董事；自2009</w:t>
      </w:r>
      <w:r>
        <w:rPr>
          <w:sz w:val="21"/>
          <w:szCs w:val="21"/>
        </w:rPr>
        <w:t xml:space="preserve"> </w:t>
      </w:r>
      <w:r>
        <w:rPr>
          <w:rFonts w:hint="eastAsia"/>
          <w:sz w:val="21"/>
          <w:szCs w:val="21"/>
        </w:rPr>
        <w:t>年12</w:t>
      </w:r>
      <w:r>
        <w:rPr>
          <w:sz w:val="21"/>
          <w:szCs w:val="21"/>
        </w:rPr>
        <w:t xml:space="preserve"> </w:t>
      </w:r>
      <w:r>
        <w:rPr>
          <w:rFonts w:hint="eastAsia"/>
          <w:sz w:val="21"/>
          <w:szCs w:val="21"/>
        </w:rPr>
        <w:t>月至2011</w:t>
      </w:r>
      <w:r>
        <w:rPr>
          <w:sz w:val="21"/>
          <w:szCs w:val="21"/>
        </w:rPr>
        <w:t xml:space="preserve"> </w:t>
      </w:r>
      <w:r>
        <w:rPr>
          <w:rFonts w:hint="eastAsia"/>
          <w:sz w:val="21"/>
          <w:szCs w:val="21"/>
        </w:rPr>
        <w:t>年5</w:t>
      </w:r>
      <w:r>
        <w:rPr>
          <w:sz w:val="21"/>
          <w:szCs w:val="21"/>
        </w:rPr>
        <w:t xml:space="preserve"> </w:t>
      </w:r>
      <w:r>
        <w:rPr>
          <w:rFonts w:hint="eastAsia"/>
          <w:sz w:val="21"/>
          <w:szCs w:val="21"/>
        </w:rPr>
        <w:t>月担任徽商银行股份有限公司（香港联交所上市公司，股票代码：3698）董事；自2008</w:t>
      </w:r>
      <w:r>
        <w:rPr>
          <w:sz w:val="21"/>
          <w:szCs w:val="21"/>
        </w:rPr>
        <w:t xml:space="preserve"> </w:t>
      </w:r>
      <w:r>
        <w:rPr>
          <w:rFonts w:hint="eastAsia"/>
          <w:sz w:val="21"/>
          <w:szCs w:val="21"/>
        </w:rPr>
        <w:t>年3</w:t>
      </w:r>
      <w:r>
        <w:rPr>
          <w:sz w:val="21"/>
          <w:szCs w:val="21"/>
        </w:rPr>
        <w:t xml:space="preserve"> </w:t>
      </w:r>
      <w:r>
        <w:rPr>
          <w:rFonts w:hint="eastAsia"/>
          <w:sz w:val="21"/>
          <w:szCs w:val="21"/>
        </w:rPr>
        <w:t>月至2011年9</w:t>
      </w:r>
      <w:r>
        <w:rPr>
          <w:sz w:val="21"/>
          <w:szCs w:val="21"/>
        </w:rPr>
        <w:t xml:space="preserve"> </w:t>
      </w:r>
      <w:r>
        <w:rPr>
          <w:rFonts w:hint="eastAsia"/>
          <w:sz w:val="21"/>
          <w:szCs w:val="21"/>
        </w:rPr>
        <w:t>月担任安徽省皖能股份有限公司（深圳证券交易所上市公司，股票代码︰000543）董事。苏女士亦拥有会计等相关管理经验，其经验包括：自2011</w:t>
      </w:r>
      <w:r>
        <w:rPr>
          <w:sz w:val="21"/>
          <w:szCs w:val="21"/>
        </w:rPr>
        <w:t xml:space="preserve"> </w:t>
      </w:r>
      <w:r>
        <w:rPr>
          <w:rFonts w:hint="eastAsia"/>
          <w:sz w:val="21"/>
          <w:szCs w:val="21"/>
        </w:rPr>
        <w:t>年3</w:t>
      </w:r>
      <w:r>
        <w:rPr>
          <w:sz w:val="21"/>
          <w:szCs w:val="21"/>
        </w:rPr>
        <w:t xml:space="preserve"> </w:t>
      </w:r>
      <w:r>
        <w:rPr>
          <w:rFonts w:hint="eastAsia"/>
          <w:sz w:val="21"/>
          <w:szCs w:val="21"/>
        </w:rPr>
        <w:t>月至2015</w:t>
      </w:r>
      <w:r>
        <w:rPr>
          <w:sz w:val="21"/>
          <w:szCs w:val="21"/>
        </w:rPr>
        <w:t xml:space="preserve"> </w:t>
      </w:r>
      <w:r>
        <w:rPr>
          <w:rFonts w:hint="eastAsia"/>
          <w:sz w:val="21"/>
          <w:szCs w:val="21"/>
        </w:rPr>
        <w:t>年8</w:t>
      </w:r>
      <w:r>
        <w:rPr>
          <w:sz w:val="21"/>
          <w:szCs w:val="21"/>
        </w:rPr>
        <w:t xml:space="preserve"> </w:t>
      </w:r>
      <w:r>
        <w:rPr>
          <w:rFonts w:hint="eastAsia"/>
          <w:sz w:val="21"/>
          <w:szCs w:val="21"/>
        </w:rPr>
        <w:t>月担任中国海运（集团）总公司总会计师；自2007</w:t>
      </w:r>
      <w:r>
        <w:rPr>
          <w:sz w:val="21"/>
          <w:szCs w:val="21"/>
        </w:rPr>
        <w:t xml:space="preserve"> </w:t>
      </w:r>
      <w:r>
        <w:rPr>
          <w:rFonts w:hint="eastAsia"/>
          <w:sz w:val="21"/>
          <w:szCs w:val="21"/>
        </w:rPr>
        <w:t>年5</w:t>
      </w:r>
      <w:r>
        <w:rPr>
          <w:sz w:val="21"/>
          <w:szCs w:val="21"/>
        </w:rPr>
        <w:t xml:space="preserve"> </w:t>
      </w:r>
      <w:r>
        <w:rPr>
          <w:rFonts w:hint="eastAsia"/>
          <w:sz w:val="21"/>
          <w:szCs w:val="21"/>
        </w:rPr>
        <w:t>月至2011</w:t>
      </w:r>
      <w:r>
        <w:rPr>
          <w:sz w:val="21"/>
          <w:szCs w:val="21"/>
        </w:rPr>
        <w:t xml:space="preserve"> </w:t>
      </w:r>
      <w:r>
        <w:rPr>
          <w:rFonts w:hint="eastAsia"/>
          <w:sz w:val="21"/>
          <w:szCs w:val="21"/>
        </w:rPr>
        <w:t>年4月担任安徽省能源集团有限公司总会计师，并于2010</w:t>
      </w:r>
      <w:r>
        <w:rPr>
          <w:sz w:val="21"/>
          <w:szCs w:val="21"/>
        </w:rPr>
        <w:t xml:space="preserve"> </w:t>
      </w:r>
      <w:r>
        <w:rPr>
          <w:rFonts w:hint="eastAsia"/>
          <w:sz w:val="21"/>
          <w:szCs w:val="21"/>
        </w:rPr>
        <w:t>年11</w:t>
      </w:r>
      <w:r>
        <w:rPr>
          <w:sz w:val="21"/>
          <w:szCs w:val="21"/>
        </w:rPr>
        <w:t xml:space="preserve"> </w:t>
      </w:r>
      <w:r>
        <w:rPr>
          <w:rFonts w:hint="eastAsia"/>
          <w:sz w:val="21"/>
          <w:szCs w:val="21"/>
        </w:rPr>
        <w:t>月至2011</w:t>
      </w:r>
      <w:r>
        <w:rPr>
          <w:sz w:val="21"/>
          <w:szCs w:val="21"/>
        </w:rPr>
        <w:t xml:space="preserve"> </w:t>
      </w:r>
      <w:r>
        <w:rPr>
          <w:rFonts w:hint="eastAsia"/>
          <w:sz w:val="21"/>
          <w:szCs w:val="21"/>
        </w:rPr>
        <w:t>年4</w:t>
      </w:r>
      <w:r>
        <w:rPr>
          <w:sz w:val="21"/>
          <w:szCs w:val="21"/>
        </w:rPr>
        <w:t xml:space="preserve"> </w:t>
      </w:r>
      <w:r>
        <w:rPr>
          <w:rFonts w:hint="eastAsia"/>
          <w:sz w:val="21"/>
          <w:szCs w:val="21"/>
        </w:rPr>
        <w:t xml:space="preserve">月担任该公司副总经理。2018年9月3日起，任博时基金管理有限公司第七届董事会董事。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王金宝先生，硕士，董事。1988年7月至1995年4月在上海同济大学数学系工作，任教师。1995年4月进入招商证券，先后任上海澳门路营业部总经理、上海地区总部副总经理（主持工作）、投资部总经理、投资部总经理兼固定收益部总经理、股票销售交易部总经理（现更名为机构业务总部）、机构业务董事总经理。2002年10月至2008年7月，任博时基金管理有限公司第二届、第三届监事会监事。2008年7月起，任博时基金管理有限公司第四届至第六届董事会董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lastRenderedPageBreak/>
        <w:t xml:space="preserve">陈克庆先生，北京大学工商管理硕士。2001年起历任世纪证券投资银行北京总部副总经理，国信证券投行业务部副总经理，华西证券投资银行总部副总经理、董事总经理。2014年加入中国长城资产管理公司，现任投资投行事业部副总经理。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方瓯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任博时基金管理有限公司第七届董事会董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兼任湘电集团有限公司外部董事；2013年5月至2014年8月，兼任德华安顾人寿保险有限公司（ECNL）董事；2013年6月至今，兼任深圳市昌红科技股份有限公司独立董事。2014年11月起，任博时基金管理有限公司第六届董事会独立董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中远控股（新加坡）有限公司总裁；并任新加坡中资企业协会会长。2011.11-2015.12，任</w:t>
      </w:r>
      <w:r>
        <w:rPr>
          <w:rFonts w:hint="eastAsia"/>
          <w:sz w:val="21"/>
          <w:szCs w:val="21"/>
        </w:rPr>
        <w:lastRenderedPageBreak/>
        <w:t xml:space="preserve">中国远洋控股股份有限公司执行（A+H上市公司）执行董事、总经理。2012.2-2015.12，兼任中国上市公司协会副监事长、天津上市公司协会副会长；2014.9-2015.12，兼任中国上市公司协会监事会专业委员会副主任委员。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2、基金管理人监事会成员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何敏女士，1975年出生，中南财经大学会计学硕士。1999年7月至2006年4月任招商证券股份有限公司财务部会计核算岗，2006年4月至2009年4</w:t>
      </w:r>
      <w:r>
        <w:rPr>
          <w:sz w:val="21"/>
          <w:szCs w:val="21"/>
        </w:rPr>
        <w:t xml:space="preserve"> </w:t>
      </w:r>
      <w:r>
        <w:rPr>
          <w:rFonts w:hint="eastAsia"/>
          <w:sz w:val="21"/>
          <w:szCs w:val="21"/>
        </w:rPr>
        <w:t>月任招商证券股份有限公司财务部总经理助理，2009年4月至</w:t>
      </w:r>
      <w:r>
        <w:rPr>
          <w:sz w:val="21"/>
          <w:szCs w:val="21"/>
        </w:rPr>
        <w:t xml:space="preserve"> </w:t>
      </w:r>
      <w:r>
        <w:rPr>
          <w:rFonts w:hint="eastAsia"/>
          <w:sz w:val="21"/>
          <w:szCs w:val="21"/>
        </w:rPr>
        <w:t>2019年2月任</w:t>
      </w:r>
      <w:r>
        <w:rPr>
          <w:sz w:val="21"/>
          <w:szCs w:val="21"/>
        </w:rPr>
        <w:t xml:space="preserve"> </w:t>
      </w:r>
      <w:r>
        <w:rPr>
          <w:rFonts w:hint="eastAsia"/>
          <w:sz w:val="21"/>
          <w:szCs w:val="21"/>
        </w:rPr>
        <w:t xml:space="preserve">招商证券股份有限公司财务部副总经理，2019年2月至今任招商证券股份有限公司财务部总经理。2019年4月10日起，任博时基金管理有限公司监事会监事长。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专职董监事。2017年6月起任博时基金管理有限公司监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赵兴利先生，硕士，监事。1987年至1995年就职于天津港务局计财处。1995年至2012年5月先后任天津港贸易公司财务科科长、天津港货运公司会计主管、华夏人寿保险股份有限公司财务部总经理、天津港财务有限公司常务副总经理。2012年5月筹备天津港（集团）</w:t>
      </w:r>
      <w:r>
        <w:rPr>
          <w:rFonts w:hint="eastAsia"/>
          <w:sz w:val="21"/>
          <w:szCs w:val="21"/>
        </w:rPr>
        <w:lastRenderedPageBreak/>
        <w:t xml:space="preserve">有限公司金融事业部，2011年11月至今任天津港（集团）有限公司金融事业部副部长。2013年3月起，任博时基金管理有限公司第五至六届监事会监事。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郑波先生，博士，监事。2001年起先后在中国平安保险公司总公司、博时基金管理有限公司工作。现任博时基金管理有限公司公司董事总经理兼人力资源部总经理。2008年7月起，任博时基金管理有限公司第四至六届监事会监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严斌先生，硕士，监事。1997年7月起先后在华侨城集团公司、博时基金管理有限公司工作。现任博时基金管理有限公司财务部总经理。2015年5月起，任博时基金管理有限公司第六届监事会监事。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3、高级管理人员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张光华先生，简历同上。</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江向阳先生，简历同上。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王德英先生，硕士，副总经理。1995年起先后在北京清华计算机公司任开发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邵凯先生，经济学硕士，副总经理。1997年至1999年在河北省经济开发投资公司从事投资管理工作。2000年8月加入博时基金管理有限公司，历任债券组合经理助理、债券组合经理、社保债券基金基金经理、固定收益部副总经理兼社保债券基金基金经理、固定收益部总经理、固定收益投资总监、社保组合投资经理。现任公司副总经理、兼任博时基金（国际）有限公司董事、博时资本管理有限公司董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徐卫先生，硕士，副总经理。1993年起先后在深圳市证券管理办公室、中国证监会、摩根士丹利华鑫基金工作。2015年6月加入博时基金管理有限公司，现任公司副总经理兼博时资本管理有限公司董事、博时基金(国际)有限公司董事。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lastRenderedPageBreak/>
        <w:t>孙麒清女士，商法学硕士，督察长。曾供职于广东深港律师事务所。2002年加入博时基金管理有限公司，历任监察法律部法律顾问、监察法律部总经理。现任公司督察长，兼任</w:t>
      </w:r>
      <w:bookmarkStart w:id="38" w:name="chapter_level1_5_53_section_1_end"/>
      <w:bookmarkEnd w:id="38"/>
      <w:r>
        <w:rPr>
          <w:rFonts w:hint="eastAsia"/>
          <w:sz w:val="21"/>
          <w:szCs w:val="21"/>
        </w:rPr>
        <w:t>博时基金（国际）有限公司董事、博时资本管理有限公司副董事长。</w:t>
      </w:r>
      <w:r>
        <w:rPr>
          <w:sz w:val="21"/>
          <w:szCs w:val="21"/>
        </w:rPr>
        <w:t xml:space="preserve"> </w:t>
      </w:r>
      <w:r>
        <w:rPr>
          <w:rFonts w:hint="eastAsia"/>
          <w:sz w:val="21"/>
          <w:szCs w:val="21"/>
        </w:rPr>
        <w:t xml:space="preserve"> </w:t>
      </w:r>
      <w:bookmarkStart w:id="39" w:name="field_0_managerpersoninfo_1_end"/>
      <w:bookmarkEnd w:id="39"/>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jc w:val="both"/>
        <w:rPr>
          <w:sz w:val="21"/>
          <w:szCs w:val="21"/>
        </w:rPr>
      </w:pPr>
      <w:bookmarkStart w:id="40" w:name="chapter_level1_5_53_section_2"/>
      <w:bookmarkEnd w:id="40"/>
      <w:r>
        <w:rPr>
          <w:rFonts w:hint="eastAsia"/>
          <w:sz w:val="21"/>
          <w:szCs w:val="21"/>
        </w:rPr>
        <w:t xml:space="preserve">4、本基金基金经理 </w:t>
      </w:r>
    </w:p>
    <w:p w:rsidR="002C1A0C" w:rsidRDefault="00864859">
      <w:pPr>
        <w:pStyle w:val="a5"/>
        <w:spacing w:before="0" w:beforeAutospacing="0" w:after="0" w:afterAutospacing="0" w:line="360" w:lineRule="auto"/>
        <w:ind w:firstLine="420"/>
        <w:jc w:val="both"/>
        <w:rPr>
          <w:sz w:val="21"/>
          <w:szCs w:val="21"/>
        </w:rPr>
      </w:pPr>
      <w:bookmarkStart w:id="41" w:name="field_0_fundmanagerresume_1_start"/>
      <w:bookmarkEnd w:id="41"/>
      <w:r>
        <w:rPr>
          <w:rFonts w:hint="eastAsia"/>
          <w:sz w:val="21"/>
          <w:szCs w:val="21"/>
        </w:rPr>
        <w:t>蔡滨先生，硕士。2001年起先后在上海振华职校、美国总统轮船（中国）有限公司、美国管理协会、平安证券工作。2009年加入博时基金管理有限公司。历任研究员、研究部资本品组组长、研究部副总经理兼资本品组组长、博时主题行业混合型证券投资基金(LOF)(2014年12月26日-2016年4月25日)、博时工业4.0主题股票型证券投资基金(2016年6月8日-2019年6月4日)的基金经理。现任权益投资成长组投资副总监兼博时产业新动力灵活配置混合型发起式证券投资基金(2015年1月26日—至今)、博时外延增长主题灵活配置混合型证券投资基金(2016年2月3日—至今)、博时战略新兴产业混合型证券投资基金(2017年8月9日—至今)、博时逆向投资混合型证券投资基金(2017年11月13日—至今)、博时荣享回报灵活配置定期开放混合型证券投资基金(2018年8月23</w:t>
      </w:r>
      <w:bookmarkStart w:id="42" w:name="chapter_level1_5_53_section_2_end"/>
      <w:bookmarkEnd w:id="42"/>
      <w:r>
        <w:rPr>
          <w:rFonts w:hint="eastAsia"/>
          <w:sz w:val="21"/>
          <w:szCs w:val="21"/>
        </w:rPr>
        <w:t>日—至今)的基金经理。</w:t>
      </w:r>
      <w:bookmarkStart w:id="43" w:name="field_0_fundmanagerresume_1_end"/>
      <w:bookmarkEnd w:id="43"/>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jc w:val="both"/>
        <w:rPr>
          <w:sz w:val="21"/>
          <w:szCs w:val="21"/>
        </w:rPr>
      </w:pPr>
      <w:bookmarkStart w:id="44" w:name="field_0_managerpersoninfo2_1_start"/>
      <w:bookmarkStart w:id="45" w:name="chapter_level1_5_53_section_3"/>
      <w:bookmarkEnd w:id="44"/>
      <w:bookmarkEnd w:id="45"/>
      <w:r>
        <w:rPr>
          <w:rFonts w:hint="eastAsia"/>
          <w:sz w:val="21"/>
          <w:szCs w:val="21"/>
        </w:rPr>
        <w:t xml:space="preserve">5、投资决策委员会成员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委员：江向阳、邵凯、黄健斌、李权胜、张龙、魏凤春、欧阳凡、王俊、过钧、黄瑞庆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江向阳先生，简历同上。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邵凯先生，简历同上。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黄健斌先生，简历同上。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 xml:space="preserve">李权胜先生，硕士。1994年至1998年在北京大学生命科学学院学习，获理学学士学位。1998年至2001年继续就读于北京大学，获理学硕士学位。2013年至2015年就读清华大学-香港中文大学金融MBA项目，获得香港中文大学MBA学位。2001年7月至2003年12月在招商证券研发中心工作，任研究员；2003年12月至2006年2月在银华基金工作，任基金经理助理。2006年3月加入博时基金管理有限公司，任研究员。2007年3月起任研究部研究员兼任博时精选股票基金经理助理。2008年2月调任特定资产管理部投资经理。2012年8月至2014年12月担任博时医疗保健行业股票型证券投资基金（2012.8.28-2014.12.26）基金经理。2016年7月至2018年1月担任博时新趋势灵活配置混合型证券投资基金（2016.7.25-2018.1.5）基金经理。2013年12月开始担任博时精选混合型证券投资基金（2013.12.19-至今）基金经理。现任公司董事总经理兼股票投资部总经理，权益投资价值组负责人,公司投资决策委员会成员。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lastRenderedPageBreak/>
        <w:t xml:space="preserve">张龙先生，硕士。1996年起先后在长江证券、长盛基金、华夏基金、北京金百朋投资管理有限公司工作。2019年加入博时基金管理有限公司，现任公司投资决策委员会专职委员。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魏凤春先生，博士。1993年起先后在山东经济学院、江南信托、清华大学、江南证券、中信建投证券工作。2011年加入博时基金管理有限公司。历任投资经理、博时抗通胀增强回报证券投资基金(2015年8月24日-2016年12月19日)、博时平衡配置混合型证券投资基金(2015年11月30日-2016年12月19日)的基金经理。现任首席宏观策略分析师兼宏观策略部总经理、多元资产管理部总经理、博时颐泽稳健养老目标一年持有期混合型基金中基金（FOF）(2019年3月20日—至今)、博时颐泽平衡养老目标三年持有期混合型发起式基金中基金（FOF）（2019年8月28日-至今）的基金经理。</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欧阳凡先生，硕士。2003年起先后在衡阳市金杯电缆厂、南方基金工作。2011年加入博时基金管理有限公司，曾任特定资产管理部副总经理、社保组合投资经理助理。现任公司董事总经理兼特定资产管理部总经理、权益投资GARP组负责人、年金投资部总经理、绝对收益投资部总经理、社保组合投资经理。</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深价值优选混合基金（2017.1.25-2018.3.14）、博时沪港深成长企业混合基金（2016.11.9-2019.6.10）的基金经理。现任研究部总经理兼博时主题行业混合(LOF)基金（2015.1.22-至今）、博时沪港深优质企业混合基金（2016.11.9-至今）、博时新兴消费主题混合基金（2017.6.5-至今）、博时优势企业混合基金（2019.6.3-至今）的基金经理。</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jc w:val="both"/>
        <w:rPr>
          <w:sz w:val="21"/>
          <w:szCs w:val="21"/>
        </w:rPr>
      </w:pPr>
      <w:r>
        <w:rPr>
          <w:rFonts w:hint="eastAsia"/>
          <w:sz w:val="21"/>
          <w:szCs w:val="21"/>
        </w:rPr>
        <w:t>过钧先生，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债增强债券型证券投资基金（2010.11.24-2013.9.25）、博时亚洲票息收益债券型证券投资基金（2013.2.1-2014.4.2）、博时裕祥分级债券型证券投资基金（2014.1.8-2014.6.10）、博时双债增强债券型证券投资基金（2013.9.13-2015.7.16）、博时新财富混合型证券投资基金（2015.6.24-2016.7.4）、博时新机遇混合型证券投资基金（2016.3.29-2018.2.6）、博时新策略灵活配置混合型证券投资基金（2016.8.1-2018.2.6）、博时稳健回报债券型证券投资基金（LOF）</w:t>
      </w:r>
      <w:r>
        <w:rPr>
          <w:rFonts w:hint="eastAsia"/>
          <w:sz w:val="21"/>
          <w:szCs w:val="21"/>
        </w:rPr>
        <w:lastRenderedPageBreak/>
        <w:t>（2014.6.10-2018.4.23）、博时双债增强债券型证券投资基金（2016.10.24-2018.5.5）、博时鑫润灵活配置混合型证券投资基金（2017.2.10-2018.5.21）、博时鑫和灵活配置混合型证券投资基金（2017.12.13-2018.6.16）、博时鑫惠灵活配置混合型证券投资基金（2017.1.10-2018.7.30）的基金经理、固定收益总部公募基金组负责人、博时新价值灵活配置混合型证券投资基金（2016.3.29-2019.4.30）、博时乐臻定期开放混合型证券投资基金（2016.9.29-2019.10.14）的基金经理。现任公司董事总经理兼固定收益总部指数与创新组负责人、博时信用债券投资基金（2009.6.10-至今）、博时新收益灵活配置混合型证券投资基金（2016.2.29-至今）、博时鑫源灵活配置混合型证券投资基金（2016.9.6-至今）、博时乐臻定期开放混合型证券投资基金（2016.9.29-至今）、博时新起点灵活配置混合型证券投资基金（2016.10.17-至今）、博时鑫瑞灵活配置混合型证券投资基金（2017.2.10-至今）、博时中债3-5年进出口行债券指数证券投资基金（2018.12.25-至今）、博时转债增强债券型证券投资基金（2019.1.28-至今）、博时中债3-5年国开行债券指数证券投资基金（2019.7.19-至今）的基金经理。</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jc w:val="both"/>
        <w:rPr>
          <w:sz w:val="21"/>
          <w:szCs w:val="21"/>
        </w:rPr>
      </w:pPr>
      <w:r>
        <w:rPr>
          <w:sz w:val="21"/>
          <w:szCs w:val="21"/>
        </w:rPr>
        <w:t xml:space="preserve">黄瑞庆先生，博士。2002年起先后在融通基金、长城基金、长盛基金、财通基金、合众资产管理股份有限公司从事研究、投资、管理等工作。2013年加入博时基金管理有限公司，历任股票投资部ETF及量化组投资副总监、基金经理助理、股票投资部量化投资组投资副总监（主持工作）、股票投资部量化投资组投资总监、博时价值增长混合基金（2015.2.9-2016.10.24）、博时价值增长贰号混合基金（2015.2.9-2016.10.24）、博时特许价值混合基金（2015.2.9-2018.6.21）的基金经理。现任指数与量化投资部总经理兼博时量化平衡混合基金（2017.5.4-至今）、博时量化多策略股票基金（2018.4.3-至今）、博时量化价值股票基金（2018.6.26-至今）的基金经理。 </w:t>
      </w:r>
    </w:p>
    <w:p w:rsidR="002C1A0C" w:rsidRDefault="00864859">
      <w:pPr>
        <w:pStyle w:val="a5"/>
        <w:spacing w:before="0" w:beforeAutospacing="0" w:after="0" w:afterAutospacing="0" w:line="360" w:lineRule="auto"/>
        <w:ind w:firstLine="420"/>
        <w:jc w:val="both"/>
        <w:rPr>
          <w:sz w:val="21"/>
          <w:szCs w:val="21"/>
        </w:rPr>
      </w:pPr>
      <w:bookmarkStart w:id="46" w:name="chapter_level1_5_53_section_3_end"/>
      <w:bookmarkEnd w:id="46"/>
      <w:r>
        <w:rPr>
          <w:rFonts w:hint="eastAsia"/>
          <w:sz w:val="21"/>
          <w:szCs w:val="21"/>
        </w:rPr>
        <w:t xml:space="preserve">6、上述人员之间均不存在近亲属关系。 </w:t>
      </w:r>
      <w:bookmarkStart w:id="47" w:name="field_0_managerpersoninfo2_1_end"/>
      <w:bookmarkEnd w:id="47"/>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jc w:val="both"/>
        <w:rPr>
          <w:sz w:val="21"/>
          <w:szCs w:val="21"/>
        </w:rPr>
      </w:pPr>
      <w:bookmarkStart w:id="48" w:name="chapter_level1_5_53_section_4"/>
      <w:bookmarkEnd w:id="48"/>
      <w:r>
        <w:rPr>
          <w:rStyle w:val="a7"/>
          <w:rFonts w:hint="eastAsia"/>
          <w:sz w:val="21"/>
          <w:szCs w:val="21"/>
        </w:rPr>
        <w:t>三、基金管理人的职责</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1、依法募集资金，办理或者委托经中国证监会认定的其他机构代为办理基金份额的发售、申购、赎回和登记事宜；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2、办理基金备案手续；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5、建立健全内部风险控制、监察与稽核、财务管理及人事管理等制度，保证所管理的基金财产和基金管理人的财产相互独立，对所管理的不同基金分别管理，分别记账，进行证券投资；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7、依法接受基金托管人的监督；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19、面临解散、依法被撤销或者被依法宣告破产时，及时报告中国证监会并通知基金托管人；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21、监督基金托管人按法律法规和《基金合同》规定履行自己的义务，基金托管人违反《基金合同》造成基金财产损失时，基金管理人应为基金份额持有人利益向基金托管人追偿；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23、以基金管理人名义，代表基金份额持有人利益行使诉讼权利或实施其他法律行为；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24、基金管理人在募集期间未能达到基金的备案条件，《基金合同》不能生效，基金管理人承担全部募集费用，将已募集资金加计银行同期活期存款利息在基金募集期结束后30日内退还基金认购人；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四、基金管理人的承诺</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2、基金管理人承诺不从事违反《基金法》的行为，并承诺建立健全内部风险控制制度，采取有效措施，防止下列行为的发生：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（1）将基金管理人固有财产或者他人财产混同于基金财产从事证券投资；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（2）不公平地对待管理的不同基金财产；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（3）利用基金财产或者职务之便为基金份额持有人以外的第三人牟取利益；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（4）向基金份额持有人违规承诺收益或者承担损失；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（5）侵占、挪用基金财产；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（6）泄露因职务便利获取的未公开信息、利用该信息从事或者明示、暗示他人从事相关的交易活动；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（7）玩忽职守，不按照规定履行职责；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（8）法律、行政法规和中国证监会规定禁止的其他行为。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3、基金管理人承诺严格遵守基金合同，并承诺建立健全内部控制制度，采取有效措施，防止违反基金合同行为的发生；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4、基金管理人承诺加强人员管理，强化职业操守，督促和约束员工遵守国家有关法律法规及行业规范，诚实信用、勤勉尽责；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5、基金管理人承诺不从事其他法规规定禁止从事的行为。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lastRenderedPageBreak/>
        <w:t>五、基金经理承诺</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1、依照有关法律法规和基金合同的规定，本着谨慎的原则为基金份额持有人谋取最大利益；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2、不利用职务之便为自己、受雇人或任何第三者牟取利益；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4、不以任何形式为其他组织或个人进行证券交易。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六、基金管理人的内部控制制度</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1、风险管理的原则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（1）全面性原则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公司风险管理必须覆盖公司的所有部门和岗位，渗透各项业务过程和业务环节。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（2）独立性原则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公司设立独立的监察部，监察部保持高度的独立性和权威性，负责对公司各部门风险控制工作进行稽核和检查。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（3）相互制约原则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公司及各部门在内部组织结构的设计上要形成一种相互制约的机制，建立不同岗位之间的制衡体系。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（4）定性和定量相结合原则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建立完备的风险管理指标体系，使风险管理更具客观性和操作性。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2、风险管理和内部风险控制体系结构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（1）董事会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负责制定公司的风险管理政策，对风险管理负完全的和最终的责任。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（2）风险管理委员会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（3）督察长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独立行使督察权利；直接对董事会负责；按季向风险管理委员会提交独立的风险管理报告和风险管理建议。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（4）监察法律部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（5）风险管理部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（6）业务部门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3、风险管理和内部风险控制的措施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（1）建立内控结构，完善内控制度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（2）建立相互分离、相互制衡的内控机制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建立、健全了各项制度，做到基金经理分开，投资决策分开，基金交易集中，形成不同部门，不同岗位之间的制衡机制，从制度上减少和防范风险。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（3）建立、健全岗位责任制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建立、健全了岗位责任制，使每个员工都明确自己的任务、职责，并及时将各自工作领域中的风险隐患上报，以防范和减少风险。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（4）建立风险分类、识别、评估、报告、提示程序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建立了评估风险的委员会，使用适合的程序，确认和评估与公司运作有关的风险；公司建立了自下而上的风险报告程序，对风险隐患进行层层汇报，使各个层次的人员及时掌握风险状况，从而以最快速度作出决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（5）建立有效的内部监控系统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建立了足够、有效的内部监控系统，如电脑预警系统、投资监控系统，对可能出现的各种风险进行全面和实时的监控。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（6）使用数量化的风险管理手段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（7）提供足够的培训 </w:t>
      </w:r>
    </w:p>
    <w:p w:rsidR="002C1A0C" w:rsidRDefault="00864859">
      <w:pPr>
        <w:pStyle w:val="a5"/>
        <w:spacing w:before="0" w:beforeAutospacing="0" w:after="0" w:afterAutospacing="0" w:line="360" w:lineRule="auto"/>
        <w:ind w:firstLine="420"/>
        <w:rPr>
          <w:sz w:val="21"/>
          <w:szCs w:val="21"/>
        </w:rPr>
      </w:pPr>
      <w:r>
        <w:rPr>
          <w:rFonts w:hint="eastAsia"/>
          <w:sz w:val="21"/>
          <w:szCs w:val="21"/>
        </w:rPr>
        <w:t>制定了完整的培训计划，为所有员工提供足够和适当的培训，使员工明确其职责所在，</w:t>
      </w:r>
      <w:bookmarkStart w:id="49" w:name="chapter_level1_5_53_section_4_end"/>
      <w:bookmarkEnd w:id="49"/>
      <w:r>
        <w:rPr>
          <w:rFonts w:hint="eastAsia"/>
          <w:sz w:val="21"/>
          <w:szCs w:val="21"/>
        </w:rPr>
        <w:t xml:space="preserve">控制风险。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50" w:name="_Toc27511766"/>
      <w:bookmarkStart w:id="51" w:name="chapter_level1_6_55"/>
      <w:r>
        <w:rPr>
          <w:rFonts w:ascii="宋体" w:eastAsia="宋体" w:hAnsi="宋体" w:hint="eastAsia"/>
          <w:sz w:val="30"/>
        </w:rPr>
        <w:lastRenderedPageBreak/>
        <w:t>第四部分  基金托管人</w:t>
      </w:r>
      <w:bookmarkEnd w:id="50"/>
      <w:bookmarkEnd w:id="51"/>
    </w:p>
    <w:p w:rsidR="002C1A0C" w:rsidRDefault="00864859">
      <w:pPr>
        <w:pStyle w:val="a5"/>
        <w:spacing w:before="0" w:beforeAutospacing="0" w:after="0" w:afterAutospacing="0" w:line="360" w:lineRule="auto"/>
        <w:ind w:firstLine="420"/>
        <w:rPr>
          <w:sz w:val="21"/>
          <w:szCs w:val="21"/>
        </w:rPr>
      </w:pPr>
      <w:bookmarkStart w:id="52" w:name="field_0_trustcompanyinfo_1_start"/>
      <w:bookmarkStart w:id="53" w:name="chapter_level1_6_55_section_1"/>
      <w:bookmarkEnd w:id="52"/>
      <w:bookmarkEnd w:id="53"/>
      <w:r>
        <w:rPr>
          <w:rFonts w:hint="eastAsia"/>
          <w:sz w:val="21"/>
          <w:szCs w:val="21"/>
        </w:rPr>
        <w:t xml:space="preserve">一、基金托管人基本情况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名称：中国工商银行股份有限公司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注册地址：北京市西城区复兴门内大街55号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成立时间：1984年1月1日 </w:t>
      </w:r>
    </w:p>
    <w:p w:rsidR="002C1A0C" w:rsidRDefault="00864859">
      <w:pPr>
        <w:pStyle w:val="a5"/>
        <w:spacing w:before="0" w:beforeAutospacing="0" w:after="0" w:afterAutospacing="0" w:line="360" w:lineRule="auto"/>
        <w:ind w:firstLine="420"/>
        <w:rPr>
          <w:sz w:val="21"/>
          <w:szCs w:val="21"/>
        </w:rPr>
      </w:pPr>
      <w:r>
        <w:rPr>
          <w:rFonts w:hint="eastAsia"/>
          <w:sz w:val="21"/>
          <w:szCs w:val="21"/>
        </w:rPr>
        <w:t>法定代表人：</w:t>
      </w:r>
      <w:r>
        <w:rPr>
          <w:sz w:val="21"/>
          <w:szCs w:val="21"/>
        </w:rPr>
        <w:t xml:space="preserve"> </w:t>
      </w:r>
      <w:r>
        <w:rPr>
          <w:rFonts w:hint="eastAsia"/>
          <w:sz w:val="21"/>
          <w:szCs w:val="21"/>
        </w:rPr>
        <w:t xml:space="preserve">陈四清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注册资本：人民币35,640,625.7089万元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联系电话：010-66105799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联系人：郭明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二、主要人员情况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截至2019年9月，中国工商银行资产托管部共有员工208人，平均年龄33岁，95%以上员工拥有大学本科以上学历，高管人员均拥有研究生以上学历或高级技术职称。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三、基金托管业务经营情况 </w:t>
      </w:r>
    </w:p>
    <w:p w:rsidR="002C1A0C" w:rsidRDefault="00864859">
      <w:pPr>
        <w:pStyle w:val="a5"/>
        <w:spacing w:before="0" w:beforeAutospacing="0" w:after="0" w:afterAutospacing="0" w:line="360" w:lineRule="auto"/>
        <w:ind w:firstLine="420"/>
        <w:rPr>
          <w:sz w:val="21"/>
          <w:szCs w:val="21"/>
        </w:rPr>
      </w:pPr>
      <w:r>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2019年9月，中国工商银行共托管证券投资基金1006只。自2003年以来，本行连续十六年获得香港《亚洲货币》、英国《全球托管人》、香港《财资》、美国《环球金融》、内地《证券时报》、《上海证券报》等境内外权威财经媒体评选的68项最佳托管银行大奖；是获得奖项最多的国内托管银行，优良的服务品质获得国内外金融领域的持续</w:t>
      </w:r>
      <w:bookmarkStart w:id="54" w:name="chapter_level1_6_55_section_1_end"/>
      <w:bookmarkEnd w:id="54"/>
      <w:r>
        <w:rPr>
          <w:rFonts w:hint="eastAsia"/>
          <w:sz w:val="21"/>
          <w:szCs w:val="21"/>
        </w:rPr>
        <w:t xml:space="preserve">认可和广泛好评。 </w:t>
      </w:r>
      <w:bookmarkStart w:id="55" w:name="field_0_trustcompanyinfo_1_end"/>
      <w:bookmarkEnd w:id="55"/>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56" w:name="chapter_level1_6_55_section_2"/>
      <w:bookmarkStart w:id="57" w:name="field_0_trustcontrollawinfo_1_start"/>
      <w:bookmarkEnd w:id="56"/>
      <w:bookmarkEnd w:id="57"/>
      <w:r>
        <w:rPr>
          <w:rFonts w:hint="eastAsia"/>
          <w:sz w:val="21"/>
          <w:szCs w:val="21"/>
        </w:rPr>
        <w:t>四、基金托管人的内部控制制度</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二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1、内部风险控制目标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2、内部风险控制组织结构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3、内部风险控制原则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（1）合法性原则。内控制度应当符合国家法律法规及监管机构的监管要求，并贯穿于托管业务经营管理活动的始终。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（3）及时性原则。托管业务经营活动必须在发生时能准确及时地记录；按照“内控优先”的原则，新设机构或新增业务品种时，必须做到已建立相关的规章制度。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（4）审慎性原则。各项业务经营活动必须防范风险，审慎经营，保证基金资产和其他委托资产的安全与完整。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（5）有效性原则。内控制度应根据国家政策、法律及经营管理的需要适时修改完善，并保证得到全面落实执行，不得有任何空间、时限及人员的例外。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4、内部风险控制措施实施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（6）数据安全控制。我们通过业务操作区相对独立、数据和传真加密、数据传输线路的冗余备份、监控设施的运用和保障等措施来保障数据安全。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5、资产托管部内部风险控制情况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（1）资产托管部内部设置专职稽核监察部门，配备专职稽核监察人员，在总经理的直接领导下，依照有关法律规章，全面贯彻落实全程监控思想，确保资产托管业务健康、稳定地发展。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rsidR="002C1A0C" w:rsidRDefault="00864859">
      <w:pPr>
        <w:pStyle w:val="a5"/>
        <w:spacing w:before="0" w:beforeAutospacing="0" w:after="0" w:afterAutospacing="0" w:line="360" w:lineRule="auto"/>
        <w:ind w:firstLine="420"/>
        <w:rPr>
          <w:sz w:val="21"/>
          <w:szCs w:val="21"/>
        </w:rPr>
      </w:pPr>
      <w:r>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8" w:name="chapter_level1_6_55_section_2_end"/>
      <w:bookmarkEnd w:id="58"/>
      <w:r>
        <w:rPr>
          <w:rFonts w:hint="eastAsia"/>
          <w:sz w:val="21"/>
          <w:szCs w:val="21"/>
        </w:rPr>
        <w:t xml:space="preserve">的位置，视风险防范和控制为托管业务生存和发展的生命线。 </w:t>
      </w:r>
      <w:bookmarkStart w:id="59" w:name="field_0_trustcontrollawinfo_1_end"/>
      <w:bookmarkEnd w:id="59"/>
      <w:r>
        <w:rPr>
          <w:sz w:val="21"/>
          <w:szCs w:val="21"/>
        </w:rPr>
        <w:t xml:space="preserve"> </w:t>
      </w:r>
      <w:r>
        <w:rPr>
          <w:rFonts w:hint="eastAsia"/>
          <w:sz w:val="21"/>
          <w:szCs w:val="21"/>
        </w:rPr>
        <w:t xml:space="preserve">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60" w:name="_Toc27511767"/>
      <w:bookmarkStart w:id="61" w:name="chapter_level1_7_56"/>
      <w:r>
        <w:rPr>
          <w:rFonts w:ascii="宋体" w:eastAsia="宋体" w:hAnsi="宋体" w:hint="eastAsia"/>
          <w:sz w:val="30"/>
        </w:rPr>
        <w:lastRenderedPageBreak/>
        <w:t>第五部分  相关服务机构</w:t>
      </w:r>
      <w:bookmarkEnd w:id="60"/>
      <w:bookmarkEnd w:id="61"/>
    </w:p>
    <w:p w:rsidR="002C1A0C" w:rsidRDefault="00864859">
      <w:pPr>
        <w:pStyle w:val="a5"/>
        <w:spacing w:before="0" w:beforeAutospacing="0" w:after="0" w:afterAutospacing="0" w:line="360" w:lineRule="auto"/>
        <w:ind w:firstLine="420"/>
        <w:rPr>
          <w:sz w:val="21"/>
          <w:szCs w:val="21"/>
        </w:rPr>
      </w:pPr>
      <w:bookmarkStart w:id="62" w:name="chapter_level1_7_56_section_1"/>
      <w:bookmarkEnd w:id="62"/>
      <w:r>
        <w:rPr>
          <w:rStyle w:val="a7"/>
          <w:rFonts w:hint="eastAsia"/>
          <w:sz w:val="21"/>
          <w:szCs w:val="21"/>
        </w:rPr>
        <w:t>一、基金份额销售机构</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1、直销机构 </w:t>
      </w:r>
    </w:p>
    <w:p w:rsidR="002C1A0C" w:rsidRDefault="00864859">
      <w:pPr>
        <w:pStyle w:val="a5"/>
        <w:spacing w:before="0" w:beforeAutospacing="0" w:after="0" w:afterAutospacing="0" w:line="360" w:lineRule="auto"/>
        <w:ind w:firstLine="420"/>
        <w:rPr>
          <w:sz w:val="21"/>
          <w:szCs w:val="21"/>
        </w:rPr>
      </w:pPr>
      <w:bookmarkStart w:id="63" w:name="field_0_marketcompanyinfo_1_start"/>
      <w:bookmarkEnd w:id="63"/>
      <w:r>
        <w:rPr>
          <w:rFonts w:hint="eastAsia"/>
          <w:sz w:val="21"/>
          <w:szCs w:val="21"/>
        </w:rPr>
        <w:t xml:space="preserve">名称：博时基金管理有限公司北京直销中心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地址：北京市建国门内大街18号恒基中心1座23层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电话：010-65187055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传真：010-65187032、010-65187592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联系人：韩明亮 </w:t>
      </w:r>
    </w:p>
    <w:p w:rsidR="002C1A0C" w:rsidRDefault="00864859">
      <w:pPr>
        <w:pStyle w:val="a5"/>
        <w:spacing w:before="0" w:beforeAutospacing="0" w:after="0" w:afterAutospacing="0" w:line="360" w:lineRule="auto"/>
        <w:ind w:firstLine="420"/>
        <w:rPr>
          <w:sz w:val="21"/>
          <w:szCs w:val="21"/>
        </w:rPr>
      </w:pPr>
      <w:bookmarkStart w:id="64" w:name="chapter_level1_7_56_section_1_end"/>
      <w:bookmarkEnd w:id="64"/>
      <w:r>
        <w:rPr>
          <w:rFonts w:hint="eastAsia"/>
          <w:sz w:val="21"/>
          <w:szCs w:val="21"/>
        </w:rPr>
        <w:t xml:space="preserve">博时一线通：95105568（免长途话费） </w:t>
      </w:r>
      <w:bookmarkStart w:id="65" w:name="field_0_marketcompanyinfo_1_end"/>
      <w:bookmarkEnd w:id="65"/>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66" w:name="chapter_level1_7_56_section_2"/>
      <w:bookmarkEnd w:id="66"/>
      <w:r>
        <w:rPr>
          <w:rFonts w:hint="eastAsia"/>
          <w:sz w:val="21"/>
          <w:szCs w:val="21"/>
        </w:rPr>
        <w:t xml:space="preserve">2、代销机构 </w:t>
      </w:r>
    </w:p>
    <w:p w:rsidR="002C1A0C" w:rsidRDefault="00864859">
      <w:pPr>
        <w:pStyle w:val="a5"/>
        <w:spacing w:before="0" w:beforeAutospacing="0" w:after="0" w:afterAutospacing="0" w:line="360" w:lineRule="auto"/>
        <w:ind w:firstLine="420"/>
        <w:rPr>
          <w:sz w:val="21"/>
          <w:szCs w:val="21"/>
        </w:rPr>
      </w:pPr>
      <w:bookmarkStart w:id="67" w:name="field_0_allproxysaletables_1_start"/>
      <w:bookmarkEnd w:id="67"/>
      <w:r>
        <w:rPr>
          <w:rFonts w:hint="eastAsia"/>
          <w:b/>
          <w:bCs/>
          <w:sz w:val="21"/>
          <w:szCs w:val="21"/>
        </w:rPr>
        <w:t>(1)中国工商银行股份有限公司</w:t>
      </w:r>
    </w:p>
    <w:tbl>
      <w:tblPr>
        <w:tblStyle w:val="a6"/>
        <w:tblW w:w="8353" w:type="dxa"/>
        <w:tblLook w:val="04A0" w:firstRow="1" w:lastRow="0" w:firstColumn="1" w:lastColumn="0" w:noHBand="0" w:noVBand="1"/>
      </w:tblPr>
      <w:tblGrid>
        <w:gridCol w:w="2312"/>
        <w:gridCol w:w="604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北京市西城区复兴门内大街55号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北京市西城区复兴门内大街55号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陈四清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杨菲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010－66107914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95588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http://www.icbc.com.cn/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(2)中国银行股份有限公司</w:t>
      </w:r>
    </w:p>
    <w:tbl>
      <w:tblPr>
        <w:tblStyle w:val="a6"/>
        <w:tblW w:w="8353" w:type="dxa"/>
        <w:tblLook w:val="04A0" w:firstRow="1" w:lastRow="0" w:firstColumn="1" w:lastColumn="0" w:noHBand="0" w:noVBand="1"/>
      </w:tblPr>
      <w:tblGrid>
        <w:gridCol w:w="2359"/>
        <w:gridCol w:w="5994"/>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北京市西城区复兴门内大街1号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北京市西城区复兴门内大街1号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刘连舸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高越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010-66594973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95566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http://www.boc.cn/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(3)交通银行股份有限公司</w:t>
      </w:r>
    </w:p>
    <w:tbl>
      <w:tblPr>
        <w:tblStyle w:val="a6"/>
        <w:tblW w:w="8353" w:type="dxa"/>
        <w:tblLook w:val="04A0" w:firstRow="1" w:lastRow="0" w:firstColumn="1" w:lastColumn="0" w:noHBand="0" w:noVBand="1"/>
      </w:tblPr>
      <w:tblGrid>
        <w:gridCol w:w="2302"/>
        <w:gridCol w:w="605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上海市银城中路188号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上海市银城中路188号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彭纯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王菁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021-58781234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021-58408483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95559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http://www.bankcomm.com/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lastRenderedPageBreak/>
        <w:t>(4)招商银行股份有限公司</w:t>
      </w:r>
    </w:p>
    <w:tbl>
      <w:tblPr>
        <w:tblStyle w:val="a6"/>
        <w:tblW w:w="8353" w:type="dxa"/>
        <w:tblLook w:val="04A0" w:firstRow="1" w:lastRow="0" w:firstColumn="1" w:lastColumn="0" w:noHBand="0" w:noVBand="1"/>
      </w:tblPr>
      <w:tblGrid>
        <w:gridCol w:w="2302"/>
        <w:gridCol w:w="605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深圳市福田区深南大道7088号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深圳市福田区深南大道7088号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李建红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邓炯鹏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0755－83198888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0755－83195049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95555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http://www.cmbchina.com/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(5)上海浦东发展银行股份有限公司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上海市中山东一路12号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上海市北京东路689号东银大厦25楼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高国富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吴斌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021－61618888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021－63602431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95528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http://www.spdb.com.cn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(6)兴业银行股份有限公司</w:t>
      </w:r>
    </w:p>
    <w:tbl>
      <w:tblPr>
        <w:tblStyle w:val="a6"/>
        <w:tblW w:w="8353" w:type="dxa"/>
        <w:tblLook w:val="04A0" w:firstRow="1" w:lastRow="0" w:firstColumn="1" w:lastColumn="0" w:noHBand="0" w:noVBand="1"/>
      </w:tblPr>
      <w:tblGrid>
        <w:gridCol w:w="2392"/>
        <w:gridCol w:w="596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福州市湖东路154号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上海市江宁路168号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高建平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曾鸣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021-52629999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95561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www.cib.com.cn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(7)中国光大银行股份有限公司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北京市西城区太平桥大街25号、甲25号中国光大中心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北京市西城区太平桥大街25号光大中心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李晓鹏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朱红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010－63636153</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010－63636157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95595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http://www.cebbank.com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(8)中国民生银行股份有限公司</w:t>
      </w:r>
    </w:p>
    <w:tbl>
      <w:tblPr>
        <w:tblStyle w:val="a6"/>
        <w:tblW w:w="8353" w:type="dxa"/>
        <w:tblLook w:val="04A0" w:firstRow="1" w:lastRow="0" w:firstColumn="1" w:lastColumn="0" w:noHBand="0" w:noVBand="1"/>
      </w:tblPr>
      <w:tblGrid>
        <w:gridCol w:w="2312"/>
        <w:gridCol w:w="604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北京市西城区复兴门内大街2号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北京市西城区复兴门内大街2号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洪崎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王继伟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电话： </w:t>
            </w:r>
          </w:p>
        </w:tc>
        <w:tc>
          <w:tcPr>
            <w:tcW w:w="7440" w:type="dxa"/>
            <w:shd w:val="clear" w:color="auto" w:fill="auto"/>
          </w:tcPr>
          <w:p w:rsidR="002C1A0C" w:rsidRDefault="00864859">
            <w:pPr>
              <w:pStyle w:val="a5"/>
              <w:rPr>
                <w:sz w:val="21"/>
              </w:rPr>
            </w:pPr>
            <w:r>
              <w:rPr>
                <w:rFonts w:hint="eastAsia"/>
                <w:sz w:val="21"/>
              </w:rPr>
              <w:t xml:space="preserve">010－58560666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010－57092611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95568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http://www.cmbc.com.cn/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(9)上海银行股份有限公司</w:t>
      </w:r>
    </w:p>
    <w:tbl>
      <w:tblPr>
        <w:tblStyle w:val="a6"/>
        <w:tblW w:w="8353" w:type="dxa"/>
        <w:tblLook w:val="04A0" w:firstRow="1" w:lastRow="0" w:firstColumn="1" w:lastColumn="0" w:noHBand="0" w:noVBand="1"/>
      </w:tblPr>
      <w:tblGrid>
        <w:gridCol w:w="2408"/>
        <w:gridCol w:w="5945"/>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上海市浦东新区银城中路168号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上海市浦东新区银城中路168号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范一飞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汤征程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021-68475521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021-68476497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95594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www.bosc.cn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(10)广发银行股份有限公司</w:t>
      </w:r>
    </w:p>
    <w:tbl>
      <w:tblPr>
        <w:tblStyle w:val="a6"/>
        <w:tblW w:w="8353" w:type="dxa"/>
        <w:tblLook w:val="04A0" w:firstRow="1" w:lastRow="0" w:firstColumn="1" w:lastColumn="0" w:noHBand="0" w:noVBand="1"/>
      </w:tblPr>
      <w:tblGrid>
        <w:gridCol w:w="2269"/>
        <w:gridCol w:w="6084"/>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广州市越秀区农林下路83号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广州市越秀区农林下路83号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王滨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陈泾渭/刘伟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020-38321497/020-38322566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020-38321676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4008308003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http://www.cgbchina.com.cn/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(11)平安银行股份有限公司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深圳市深南东路5047号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深圳市深南东路5047号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谢永林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施艺帆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021-50979384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021-50979507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95511-3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http://bank.pingan.com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(12)宁波银行股份有限公司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宁波市鄞州区宁南南路700号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宁波市鄞州区宁南南路700号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陆华裕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胡技勋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0574-89068340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0574-87050024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95574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http://www.nbcb.com.cn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(13)上海农村商业银行股份有限公司</w:t>
      </w:r>
    </w:p>
    <w:tbl>
      <w:tblPr>
        <w:tblStyle w:val="a6"/>
        <w:tblW w:w="8353" w:type="dxa"/>
        <w:tblLook w:val="04A0" w:firstRow="1" w:lastRow="0" w:firstColumn="1" w:lastColumn="0" w:noHBand="0" w:noVBand="1"/>
      </w:tblPr>
      <w:tblGrid>
        <w:gridCol w:w="2332"/>
        <w:gridCol w:w="6021"/>
      </w:tblGrid>
      <w:tr w:rsidR="002C1A0C">
        <w:tc>
          <w:tcPr>
            <w:tcW w:w="3000" w:type="dxa"/>
            <w:shd w:val="clear" w:color="auto" w:fill="auto"/>
          </w:tcPr>
          <w:p w:rsidR="002C1A0C" w:rsidRDefault="00864859">
            <w:pPr>
              <w:pStyle w:val="a5"/>
              <w:rPr>
                <w:sz w:val="21"/>
              </w:rPr>
            </w:pPr>
            <w:r>
              <w:rPr>
                <w:rFonts w:hint="eastAsia"/>
                <w:sz w:val="21"/>
              </w:rPr>
              <w:lastRenderedPageBreak/>
              <w:t xml:space="preserve">注册地址： </w:t>
            </w:r>
          </w:p>
        </w:tc>
        <w:tc>
          <w:tcPr>
            <w:tcW w:w="7440" w:type="dxa"/>
            <w:shd w:val="clear" w:color="auto" w:fill="auto"/>
          </w:tcPr>
          <w:p w:rsidR="002C1A0C" w:rsidRDefault="00864859">
            <w:pPr>
              <w:pStyle w:val="a5"/>
              <w:rPr>
                <w:sz w:val="21"/>
              </w:rPr>
            </w:pPr>
            <w:r>
              <w:rPr>
                <w:rFonts w:hint="eastAsia"/>
                <w:sz w:val="21"/>
              </w:rPr>
              <w:t xml:space="preserve">上海市浦东新区银城中路8号15-20楼、22-27楼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上海市浦东新区银城中路8号15-20楼、22-27楼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冀光恒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施传荣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021－38576666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021－50105124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021-962999;4006962999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http://www.srcb.com/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(14)北京农村商业银行股份有限公司</w:t>
      </w:r>
    </w:p>
    <w:tbl>
      <w:tblPr>
        <w:tblStyle w:val="a6"/>
        <w:tblW w:w="8353" w:type="dxa"/>
        <w:tblLook w:val="04A0" w:firstRow="1" w:lastRow="0" w:firstColumn="1" w:lastColumn="0" w:noHBand="0" w:noVBand="1"/>
      </w:tblPr>
      <w:tblGrid>
        <w:gridCol w:w="2341"/>
        <w:gridCol w:w="601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北京市西城区月坛南街1号院2号楼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北京市西城区月坛南街1号院2号楼</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王金山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鲁娟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010-89198762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010-89198678</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96198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http://www.bjrcb.com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(15)青岛银行股份有限公司</w:t>
      </w:r>
    </w:p>
    <w:tbl>
      <w:tblPr>
        <w:tblStyle w:val="a6"/>
        <w:tblW w:w="8353" w:type="dxa"/>
        <w:tblLook w:val="04A0" w:firstRow="1" w:lastRow="0" w:firstColumn="1" w:lastColumn="0" w:noHBand="0" w:noVBand="1"/>
      </w:tblPr>
      <w:tblGrid>
        <w:gridCol w:w="2341"/>
        <w:gridCol w:w="601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青岛市市南区香港中路68号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青岛市市南区香港中路68号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郭少泉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徐伟静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0532-68629925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0532-68629939</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96588（青岛）</w:t>
            </w:r>
            <w:r>
              <w:rPr>
                <w:sz w:val="21"/>
              </w:rPr>
              <w:t xml:space="preserve">  </w:t>
            </w:r>
            <w:r>
              <w:rPr>
                <w:rFonts w:hint="eastAsia"/>
                <w:sz w:val="21"/>
              </w:rPr>
              <w:t xml:space="preserve">400-669-6588（全国）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http://www.qdccb.com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(16)杭州银行股份有限公司</w:t>
      </w:r>
    </w:p>
    <w:tbl>
      <w:tblPr>
        <w:tblStyle w:val="a6"/>
        <w:tblW w:w="8353" w:type="dxa"/>
        <w:tblLook w:val="04A0" w:firstRow="1" w:lastRow="0" w:firstColumn="1" w:lastColumn="0" w:noHBand="0" w:noVBand="1"/>
      </w:tblPr>
      <w:tblGrid>
        <w:gridCol w:w="2302"/>
        <w:gridCol w:w="605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杭州市庆春路46号杭州银行大厦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杭州市庆春路46号杭州银行大厦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陈震山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严峻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0571－85108195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0571－85106576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95398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http://www.hzbank.com.cn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(17)南京银行股份有限公司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南京市白下区淮海路50号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南京市玄武区中山路288号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林复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刘晔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025－86775335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传真： </w:t>
            </w:r>
          </w:p>
        </w:tc>
        <w:tc>
          <w:tcPr>
            <w:tcW w:w="7440" w:type="dxa"/>
            <w:shd w:val="clear" w:color="auto" w:fill="auto"/>
          </w:tcPr>
          <w:p w:rsidR="002C1A0C" w:rsidRDefault="00864859">
            <w:pPr>
              <w:pStyle w:val="a5"/>
              <w:rPr>
                <w:sz w:val="21"/>
              </w:rPr>
            </w:pPr>
            <w:r>
              <w:rPr>
                <w:rFonts w:hint="eastAsia"/>
                <w:sz w:val="21"/>
              </w:rPr>
              <w:t xml:space="preserve">025－86775376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95302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http://www.njcb.com.cn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(18)江苏银行股份有限公司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南京市洪武北路55号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南京市中华路26号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夏平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田春慧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025-58587018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025-58587038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95319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http://www.jsbchina.cn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(19)渤海银行股份有限公司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天津市河东区海河东路218号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天津市河东区海河东路218号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李伏安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王宏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022-58316666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022-58316569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95541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http://www.cbhb.com.cn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(20)嘉兴银行股份有限公司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嘉兴市建国南路409号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嘉兴市建国南路409号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夏林生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顾晓光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0573-82099660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0573-82099660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0573-96528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http://www.bojx.com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(21)江苏苏州农村商业银行股份有限公司</w:t>
      </w:r>
    </w:p>
    <w:tbl>
      <w:tblPr>
        <w:tblStyle w:val="a6"/>
        <w:tblW w:w="8353" w:type="dxa"/>
        <w:tblLook w:val="04A0" w:firstRow="1" w:lastRow="0" w:firstColumn="1" w:lastColumn="0" w:noHBand="0" w:noVBand="1"/>
      </w:tblPr>
      <w:tblGrid>
        <w:gridCol w:w="2400"/>
        <w:gridCol w:w="595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江苏省苏州市吴江区中山南路1777号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江苏省苏州市吴江区中山南路1777号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魏礼亚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陆文菁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0512-63969209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0512-63969209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4008696068</w:t>
            </w:r>
            <w:r>
              <w:rPr>
                <w:sz w:val="21"/>
              </w:rPr>
              <w:t xml:space="preserve">   </w:t>
            </w:r>
            <w:r>
              <w:rPr>
                <w:rFonts w:hint="eastAsia"/>
                <w:sz w:val="21"/>
              </w:rPr>
              <w:t xml:space="preserve">0512-96068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www.szrcb.com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(22)西安银行股份有限公司</w:t>
      </w:r>
    </w:p>
    <w:tbl>
      <w:tblPr>
        <w:tblStyle w:val="a6"/>
        <w:tblW w:w="8353" w:type="dxa"/>
        <w:tblLook w:val="04A0" w:firstRow="1" w:lastRow="0" w:firstColumn="1" w:lastColumn="0" w:noHBand="0" w:noVBand="1"/>
      </w:tblPr>
      <w:tblGrid>
        <w:gridCol w:w="2384"/>
        <w:gridCol w:w="5969"/>
      </w:tblGrid>
      <w:tr w:rsidR="002C1A0C">
        <w:tc>
          <w:tcPr>
            <w:tcW w:w="3000" w:type="dxa"/>
            <w:shd w:val="clear" w:color="auto" w:fill="auto"/>
          </w:tcPr>
          <w:p w:rsidR="002C1A0C" w:rsidRDefault="00864859">
            <w:pPr>
              <w:pStyle w:val="a5"/>
              <w:rPr>
                <w:sz w:val="21"/>
              </w:rPr>
            </w:pPr>
            <w:r>
              <w:rPr>
                <w:rFonts w:hint="eastAsia"/>
                <w:sz w:val="21"/>
              </w:rPr>
              <w:lastRenderedPageBreak/>
              <w:t xml:space="preserve">注册地址： </w:t>
            </w:r>
          </w:p>
        </w:tc>
        <w:tc>
          <w:tcPr>
            <w:tcW w:w="7440" w:type="dxa"/>
            <w:shd w:val="clear" w:color="auto" w:fill="auto"/>
          </w:tcPr>
          <w:p w:rsidR="002C1A0C" w:rsidRDefault="00864859">
            <w:pPr>
              <w:pStyle w:val="a5"/>
              <w:rPr>
                <w:sz w:val="21"/>
              </w:rPr>
            </w:pPr>
            <w:r>
              <w:rPr>
                <w:rFonts w:hint="eastAsia"/>
                <w:sz w:val="21"/>
              </w:rPr>
              <w:t xml:space="preserve">西安市高新路60号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西安市高新路60号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郭军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白智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029-88992881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029-88992881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4008696779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www.xacbank.com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(23)苏州银行股份有限公司</w:t>
      </w:r>
    </w:p>
    <w:tbl>
      <w:tblPr>
        <w:tblStyle w:val="a6"/>
        <w:tblW w:w="8353" w:type="dxa"/>
        <w:tblLook w:val="04A0" w:firstRow="1" w:lastRow="0" w:firstColumn="1" w:lastColumn="0" w:noHBand="0" w:noVBand="1"/>
      </w:tblPr>
      <w:tblGrid>
        <w:gridCol w:w="2359"/>
        <w:gridCol w:w="5994"/>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江苏省苏州市工业园区钟园路728号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江苏省苏州市工业园区钟园路728号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王兰凤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熊志强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0512-69868390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0512-69868370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96067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www.suzhoubank.com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(24)珠海华润银行股份有限公司</w:t>
      </w:r>
    </w:p>
    <w:tbl>
      <w:tblPr>
        <w:tblStyle w:val="a6"/>
        <w:tblW w:w="8353" w:type="dxa"/>
        <w:tblLook w:val="04A0" w:firstRow="1" w:lastRow="0" w:firstColumn="1" w:lastColumn="0" w:noHBand="0" w:noVBand="1"/>
      </w:tblPr>
      <w:tblGrid>
        <w:gridCol w:w="2291"/>
        <w:gridCol w:w="606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广东省珠海市吉大九洲大道东1346号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广东省珠海市吉大九洲大道东1346号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刘晓勇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李阳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96588（广东省外加拨0756）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0755-82811423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96588（广东省外加拨0756）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http://www.crbank.com.cn/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(25)四川天府银行股份有限公司</w:t>
      </w:r>
    </w:p>
    <w:tbl>
      <w:tblPr>
        <w:tblStyle w:val="a6"/>
        <w:tblW w:w="8353" w:type="dxa"/>
        <w:tblLook w:val="04A0" w:firstRow="1" w:lastRow="0" w:firstColumn="1" w:lastColumn="0" w:noHBand="0" w:noVBand="1"/>
      </w:tblPr>
      <w:tblGrid>
        <w:gridCol w:w="2359"/>
        <w:gridCol w:w="5994"/>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四川省南充市顺庆区涪江路1号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四川省南充市滨江中路一段97号26栋泰和尚渡南充市商业银行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黄光伟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李俊辉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0817-7118079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0817-7118322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400-16-96869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http://www.cgnb.cn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(26)富滇银行股份有限公司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云南省昆明市拓东路41号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云南省昆明市拓东路41号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夏</w:t>
            </w:r>
            <w:r>
              <w:rPr>
                <w:sz w:val="21"/>
              </w:rPr>
              <w:t xml:space="preserve"> </w:t>
            </w:r>
            <w:r>
              <w:rPr>
                <w:rFonts w:hint="eastAsia"/>
                <w:sz w:val="21"/>
              </w:rPr>
              <w:t xml:space="preserve">蜀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杨翊琳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0871-63140324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传真： </w:t>
            </w:r>
          </w:p>
        </w:tc>
        <w:tc>
          <w:tcPr>
            <w:tcW w:w="7440" w:type="dxa"/>
            <w:shd w:val="clear" w:color="auto" w:fill="auto"/>
          </w:tcPr>
          <w:p w:rsidR="002C1A0C" w:rsidRDefault="00864859">
            <w:pPr>
              <w:pStyle w:val="a5"/>
              <w:rPr>
                <w:sz w:val="21"/>
              </w:rPr>
            </w:pPr>
            <w:r>
              <w:rPr>
                <w:rFonts w:hint="eastAsia"/>
                <w:sz w:val="21"/>
              </w:rPr>
              <w:t xml:space="preserve">0871-63194471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4008896533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www.fudian-bank.com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(27)福建海峡银行股份有限公司</w:t>
      </w:r>
    </w:p>
    <w:tbl>
      <w:tblPr>
        <w:tblStyle w:val="a6"/>
        <w:tblW w:w="8353" w:type="dxa"/>
        <w:tblLook w:val="04A0" w:firstRow="1" w:lastRow="0" w:firstColumn="1" w:lastColumn="0" w:noHBand="0" w:noVBand="1"/>
      </w:tblPr>
      <w:tblGrid>
        <w:gridCol w:w="2376"/>
        <w:gridCol w:w="5977"/>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福建省福州市台江区江滨中大道358号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福州台江区江滨中大道358号福建海峡银行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俞敏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吴白玫、张翠娟、黄钰雯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0591-87332762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0591-87330926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400-893-9999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www.fjhxbank.com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(28)浙江绍兴瑞丰农村商业银行股份有限公司</w:t>
      </w:r>
    </w:p>
    <w:tbl>
      <w:tblPr>
        <w:tblStyle w:val="a6"/>
        <w:tblW w:w="8353" w:type="dxa"/>
        <w:tblLook w:val="04A0" w:firstRow="1" w:lastRow="0" w:firstColumn="1" w:lastColumn="0" w:noHBand="0" w:noVBand="1"/>
      </w:tblPr>
      <w:tblGrid>
        <w:gridCol w:w="2359"/>
        <w:gridCol w:w="5994"/>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浙江绍兴柯桥笛扬路1363号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浙江绍兴柯桥笛扬路1363号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俞俊海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孟建潮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0575-84788101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0575-84788134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400-889-6596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http://www.borf.cn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(29)深圳市新兰德证券投资咨询有限公司</w:t>
      </w:r>
    </w:p>
    <w:tbl>
      <w:tblPr>
        <w:tblStyle w:val="a6"/>
        <w:tblW w:w="8353" w:type="dxa"/>
        <w:tblLook w:val="04A0" w:firstRow="1" w:lastRow="0" w:firstColumn="1" w:lastColumn="0" w:noHBand="0" w:noVBand="1"/>
      </w:tblPr>
      <w:tblGrid>
        <w:gridCol w:w="2341"/>
        <w:gridCol w:w="601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深圳市福田区华强北路赛格科技园4栋10层1006#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北京市西城区宣武门外大街28号富卓大厦A座6层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马勇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张燕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010-58325388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010-58325300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400-166-1188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http://8.jrj.com.cn/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(30)厦门市鑫鼎盛控股有限公司</w:t>
      </w:r>
    </w:p>
    <w:tbl>
      <w:tblPr>
        <w:tblStyle w:val="a6"/>
        <w:tblW w:w="8353" w:type="dxa"/>
        <w:tblLook w:val="04A0" w:firstRow="1" w:lastRow="0" w:firstColumn="1" w:lastColumn="0" w:noHBand="0" w:noVBand="1"/>
      </w:tblPr>
      <w:tblGrid>
        <w:gridCol w:w="2392"/>
        <w:gridCol w:w="596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厦门市思明区鹭江道2号厦门第一广场1501-1504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厦门市思明区鹭江道2号厦门第一广场1501-1504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陈洪生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徐明静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0592-3122716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0592-8060771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400-918-0808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www.xds.com.cn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(31)江苏汇林保大基金销售有限公司</w:t>
      </w:r>
    </w:p>
    <w:tbl>
      <w:tblPr>
        <w:tblStyle w:val="a6"/>
        <w:tblW w:w="8353" w:type="dxa"/>
        <w:tblLook w:val="04A0" w:firstRow="1" w:lastRow="0" w:firstColumn="1" w:lastColumn="0" w:noHBand="0" w:noVBand="1"/>
      </w:tblPr>
      <w:tblGrid>
        <w:gridCol w:w="2376"/>
        <w:gridCol w:w="5977"/>
      </w:tblGrid>
      <w:tr w:rsidR="002C1A0C">
        <w:tc>
          <w:tcPr>
            <w:tcW w:w="3000" w:type="dxa"/>
            <w:shd w:val="clear" w:color="auto" w:fill="auto"/>
          </w:tcPr>
          <w:p w:rsidR="002C1A0C" w:rsidRDefault="00864859">
            <w:pPr>
              <w:pStyle w:val="a5"/>
              <w:rPr>
                <w:sz w:val="21"/>
              </w:rPr>
            </w:pPr>
            <w:r>
              <w:rPr>
                <w:rFonts w:hint="eastAsia"/>
                <w:sz w:val="21"/>
              </w:rPr>
              <w:lastRenderedPageBreak/>
              <w:t xml:space="preserve">注册地址： </w:t>
            </w:r>
          </w:p>
        </w:tc>
        <w:tc>
          <w:tcPr>
            <w:tcW w:w="7440" w:type="dxa"/>
            <w:shd w:val="clear" w:color="auto" w:fill="auto"/>
          </w:tcPr>
          <w:p w:rsidR="002C1A0C" w:rsidRDefault="00864859">
            <w:pPr>
              <w:pStyle w:val="a5"/>
              <w:rPr>
                <w:sz w:val="21"/>
              </w:rPr>
            </w:pPr>
            <w:r>
              <w:rPr>
                <w:rFonts w:hint="eastAsia"/>
                <w:sz w:val="21"/>
              </w:rPr>
              <w:t xml:space="preserve">南京市高淳区经济开发区古檀大道47号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南京市新街口中山东路9号天时国际商贸大厦11楼E座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吴言林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詹涤非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025-56663409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025-56663409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025-66046166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www.huilinbd.com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(32)北京百度百盈基金销售有限公司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北京市海淀区上地十街10号1幢1层101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北京市海淀区上地信息路甲9号奎泰大厦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张旭阳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孙博超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010-59925987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010-61951007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59922681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www.baiyingfund.com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(33)诺亚正行基金销售有限公司</w:t>
      </w:r>
    </w:p>
    <w:tbl>
      <w:tblPr>
        <w:tblStyle w:val="a6"/>
        <w:tblW w:w="8353" w:type="dxa"/>
        <w:tblLook w:val="04A0" w:firstRow="1" w:lastRow="0" w:firstColumn="1" w:lastColumn="0" w:noHBand="0" w:noVBand="1"/>
      </w:tblPr>
      <w:tblGrid>
        <w:gridCol w:w="2302"/>
        <w:gridCol w:w="605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上海市金山区廊下镇漕廊公路7650号205室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上海浦东新区银城中路68号时代金融中心8楼801室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汪静波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方成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021-38602377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021-38509777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400-821-5399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http://www.noah-fund.com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(34)深圳众禄基金销售股份有限公司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深圳市罗湖区梨园路物资控股置地大厦8楼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深圳市罗湖区梨园路物资控股置地大厦8楼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薛峰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童彩平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0755-33227950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0755-33227951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400-678-8887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https://www.zlfund.cn/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(35)上海天天基金销售有限公司</w:t>
      </w:r>
    </w:p>
    <w:tbl>
      <w:tblPr>
        <w:tblStyle w:val="a6"/>
        <w:tblW w:w="8353" w:type="dxa"/>
        <w:tblLook w:val="04A0" w:firstRow="1" w:lastRow="0" w:firstColumn="1" w:lastColumn="0" w:noHBand="0" w:noVBand="1"/>
      </w:tblPr>
      <w:tblGrid>
        <w:gridCol w:w="2291"/>
        <w:gridCol w:w="606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上海市徐汇区龙田路190号2号楼2层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上海市徐汇区龙田路195号3C座9楼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其实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潘世友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021-54509998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传真： </w:t>
            </w:r>
          </w:p>
        </w:tc>
        <w:tc>
          <w:tcPr>
            <w:tcW w:w="7440" w:type="dxa"/>
            <w:shd w:val="clear" w:color="auto" w:fill="auto"/>
          </w:tcPr>
          <w:p w:rsidR="002C1A0C" w:rsidRDefault="00864859">
            <w:pPr>
              <w:pStyle w:val="a5"/>
              <w:rPr>
                <w:sz w:val="21"/>
              </w:rPr>
            </w:pPr>
            <w:r>
              <w:rPr>
                <w:rFonts w:hint="eastAsia"/>
                <w:sz w:val="21"/>
              </w:rPr>
              <w:t xml:space="preserve">021-64385308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400-181-8188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http://www.1234567.com.cn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(36)上海好买基金销售有限公司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上海市虹口区场中路685弄37号4号楼449室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上海市浦东新区浦东南路1118号鄂尔多斯国际大厦903～906室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杨文斌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张茹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021-20613610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400-700-9665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http://www.ehowbuy.com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(37)蚂蚁（杭州）基金销售有限公司</w:t>
      </w:r>
    </w:p>
    <w:tbl>
      <w:tblPr>
        <w:tblStyle w:val="a6"/>
        <w:tblW w:w="8353" w:type="dxa"/>
        <w:tblLook w:val="04A0" w:firstRow="1" w:lastRow="0" w:firstColumn="1" w:lastColumn="0" w:noHBand="0" w:noVBand="1"/>
      </w:tblPr>
      <w:tblGrid>
        <w:gridCol w:w="2332"/>
        <w:gridCol w:w="602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杭州市余杭区仓前街道文一西路1218号1栋202室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浙江省杭州市滨江区江南大道3588号恒生大厦12楼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陈柏青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朱晓超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021-60897840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0571-26697013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400-076-6123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http://www.fund123.cn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(38)上海长量基金销售有限公司</w:t>
      </w:r>
    </w:p>
    <w:tbl>
      <w:tblPr>
        <w:tblStyle w:val="a6"/>
        <w:tblW w:w="8353" w:type="dxa"/>
        <w:tblLook w:val="04A0" w:firstRow="1" w:lastRow="0" w:firstColumn="1" w:lastColumn="0" w:noHBand="0" w:noVBand="1"/>
      </w:tblPr>
      <w:tblGrid>
        <w:gridCol w:w="2302"/>
        <w:gridCol w:w="605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上海市浦东新区高翔路526号2幢220室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上海市浦东新区东方路1267号11层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张跃伟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敖玲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021-58788678-8201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021—58787698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400-820-2899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http://www.erichfund.com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(39)浙江同花顺基金销售有限公司</w:t>
      </w:r>
    </w:p>
    <w:tbl>
      <w:tblPr>
        <w:tblStyle w:val="a6"/>
        <w:tblW w:w="8353" w:type="dxa"/>
        <w:tblLook w:val="04A0" w:firstRow="1" w:lastRow="0" w:firstColumn="1" w:lastColumn="0" w:noHBand="0" w:noVBand="1"/>
      </w:tblPr>
      <w:tblGrid>
        <w:gridCol w:w="2392"/>
        <w:gridCol w:w="596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杭州市西湖区文二西路1号元茂大厦903室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浙江省杭州市余杭区五常街道同顺街18号同花顺大楼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凌顺平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吴杰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0571-88911818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0571-86800423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400-877-3772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www.5ifund.com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(40)嘉实财富管理有限公司</w:t>
      </w:r>
    </w:p>
    <w:tbl>
      <w:tblPr>
        <w:tblStyle w:val="a6"/>
        <w:tblW w:w="8353" w:type="dxa"/>
        <w:tblLook w:val="04A0" w:firstRow="1" w:lastRow="0" w:firstColumn="1" w:lastColumn="0" w:noHBand="0" w:noVBand="1"/>
      </w:tblPr>
      <w:tblGrid>
        <w:gridCol w:w="2376"/>
        <w:gridCol w:w="5977"/>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上海市浦东新区世纪大道8号上海国金中心办公楼二期46层</w:t>
            </w:r>
            <w:r>
              <w:rPr>
                <w:rFonts w:hint="eastAsia"/>
                <w:sz w:val="21"/>
              </w:rPr>
              <w:lastRenderedPageBreak/>
              <w:t xml:space="preserve">4609-10单元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办公地址： </w:t>
            </w:r>
          </w:p>
        </w:tc>
        <w:tc>
          <w:tcPr>
            <w:tcW w:w="7440" w:type="dxa"/>
            <w:shd w:val="clear" w:color="auto" w:fill="auto"/>
          </w:tcPr>
          <w:p w:rsidR="002C1A0C" w:rsidRDefault="00864859">
            <w:pPr>
              <w:pStyle w:val="a5"/>
              <w:rPr>
                <w:sz w:val="21"/>
              </w:rPr>
            </w:pPr>
            <w:r>
              <w:rPr>
                <w:rFonts w:hint="eastAsia"/>
                <w:sz w:val="21"/>
              </w:rPr>
              <w:t xml:space="preserve">北京市朝阳区建国路91号金地中心A座6层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赵学军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余永键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010-85097570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010-65215433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400-021-8850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www.harvestwm.cn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(41)宜信普泽（北京）基金销售有限公司</w:t>
      </w:r>
    </w:p>
    <w:tbl>
      <w:tblPr>
        <w:tblStyle w:val="a6"/>
        <w:tblW w:w="8353" w:type="dxa"/>
        <w:tblLook w:val="04A0" w:firstRow="1" w:lastRow="0" w:firstColumn="1" w:lastColumn="0" w:noHBand="0" w:noVBand="1"/>
      </w:tblPr>
      <w:tblGrid>
        <w:gridCol w:w="2302"/>
        <w:gridCol w:w="605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北京市朝阳区建国路88号9号楼15层1809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北京市朝阳区建国路88号SOHO现代城C座18层1809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戎兵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程刚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010-52855713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010-85894285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400-609-9200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http://www.yixinfund.com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(42)南京苏宁基金销售有限公司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南京市玄武区苏宁大道1-5号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南京市玄武区苏宁大道1-5号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钱燕飞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喻明明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025-66996699-884131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025-66996699-884131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95177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www.snjijin.com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(43)浦领基金销售有限公司</w:t>
      </w:r>
    </w:p>
    <w:tbl>
      <w:tblPr>
        <w:tblStyle w:val="a6"/>
        <w:tblW w:w="8353" w:type="dxa"/>
        <w:tblLook w:val="04A0" w:firstRow="1" w:lastRow="0" w:firstColumn="1" w:lastColumn="0" w:noHBand="0" w:noVBand="1"/>
      </w:tblPr>
      <w:tblGrid>
        <w:gridCol w:w="2376"/>
        <w:gridCol w:w="5977"/>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北京市朝阳区望京东园四区13号楼A座9层908室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北京市朝阳区望京浦项中心A座9层04-08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聂婉君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李艳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010-59497361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010-64788016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400-012-5899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www.zscffund.com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(44)北京恒天明泽基金销售有限公司</w:t>
      </w:r>
    </w:p>
    <w:tbl>
      <w:tblPr>
        <w:tblStyle w:val="a6"/>
        <w:tblW w:w="8353" w:type="dxa"/>
        <w:tblLook w:val="04A0" w:firstRow="1" w:lastRow="0" w:firstColumn="1" w:lastColumn="0" w:noHBand="0" w:noVBand="1"/>
      </w:tblPr>
      <w:tblGrid>
        <w:gridCol w:w="2400"/>
        <w:gridCol w:w="595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北京市北京经济技术开发区宏达北路10号5层5122室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北京市朝阳区东三环中路20号乐成中心A座23层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周斌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马鹏程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010-57756074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传真： </w:t>
            </w:r>
          </w:p>
        </w:tc>
        <w:tc>
          <w:tcPr>
            <w:tcW w:w="7440" w:type="dxa"/>
            <w:shd w:val="clear" w:color="auto" w:fill="auto"/>
          </w:tcPr>
          <w:p w:rsidR="002C1A0C" w:rsidRDefault="00864859">
            <w:pPr>
              <w:pStyle w:val="a5"/>
              <w:rPr>
                <w:sz w:val="21"/>
              </w:rPr>
            </w:pPr>
            <w:r>
              <w:rPr>
                <w:rFonts w:hint="eastAsia"/>
                <w:sz w:val="21"/>
              </w:rPr>
              <w:t xml:space="preserve">010-56810782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400-8980-618</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www.chtwm.com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(45)北京汇成基金销售有限公司</w:t>
      </w:r>
    </w:p>
    <w:tbl>
      <w:tblPr>
        <w:tblStyle w:val="a6"/>
        <w:tblW w:w="8353" w:type="dxa"/>
        <w:tblLook w:val="04A0" w:firstRow="1" w:lastRow="0" w:firstColumn="1" w:lastColumn="0" w:noHBand="0" w:noVBand="1"/>
      </w:tblPr>
      <w:tblGrid>
        <w:gridCol w:w="2384"/>
        <w:gridCol w:w="5969"/>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北京市西城区西直门外大街1号院2号楼（西环广场T2）19层19C13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北京市西城区西直门外大街1号院2号楼（西环广场T2）19层19C13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王伟刚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丁向坤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010-56282140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010-62680827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400-619-9059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www.hcjijin.com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(46)北京钱景基金销售有限公司</w:t>
      </w:r>
    </w:p>
    <w:tbl>
      <w:tblPr>
        <w:tblStyle w:val="a6"/>
        <w:tblW w:w="8353" w:type="dxa"/>
        <w:tblLook w:val="04A0" w:firstRow="1" w:lastRow="0" w:firstColumn="1" w:lastColumn="0" w:noHBand="0" w:noVBand="1"/>
      </w:tblPr>
      <w:tblGrid>
        <w:gridCol w:w="2376"/>
        <w:gridCol w:w="5977"/>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北京市海淀区丹棱街6号1幢9层1008-1012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北京市海淀区丹棱街6号1幢9层1008-1012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赵荣春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魏争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010-57418829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010-57569671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400-893-6885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www.qianjing.com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(47)北京唐鼎耀华基金销售有限公司</w:t>
      </w:r>
    </w:p>
    <w:tbl>
      <w:tblPr>
        <w:tblStyle w:val="a6"/>
        <w:tblW w:w="8353" w:type="dxa"/>
        <w:tblLook w:val="04A0" w:firstRow="1" w:lastRow="0" w:firstColumn="1" w:lastColumn="0" w:noHBand="0" w:noVBand="1"/>
      </w:tblPr>
      <w:tblGrid>
        <w:gridCol w:w="2312"/>
        <w:gridCol w:w="604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北京市延庆县延庆经济开发区百泉街10号2栋236室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北京市朝阳区亮马桥路甲40号二十一世纪大厦A303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张冠宇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周君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010-53570568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010-59200800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400-819-9868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http://www.tdyhfund.com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(48)北京植信基金销售有限公司</w:t>
      </w:r>
    </w:p>
    <w:tbl>
      <w:tblPr>
        <w:tblStyle w:val="a6"/>
        <w:tblW w:w="8353" w:type="dxa"/>
        <w:tblLook w:val="04A0" w:firstRow="1" w:lastRow="0" w:firstColumn="1" w:lastColumn="0" w:noHBand="0" w:noVBand="1"/>
      </w:tblPr>
      <w:tblGrid>
        <w:gridCol w:w="2291"/>
        <w:gridCol w:w="606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北京市密云县兴盛南路8号院2号楼106-67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北京市朝阳区建华南路6号</w:t>
            </w:r>
            <w:r>
              <w:rPr>
                <w:sz w:val="21"/>
              </w:rPr>
              <w:t xml:space="preserve"> </w:t>
            </w:r>
            <w:r>
              <w:rPr>
                <w:rFonts w:hint="eastAsia"/>
                <w:sz w:val="21"/>
              </w:rPr>
              <w:t xml:space="preserve">卓明大厦2层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于龙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叶航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010-65166112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010-65166001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4006-802-123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http://www.zhixin-inv.com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lastRenderedPageBreak/>
        <w:t>(49)上海联泰基金销售有限公司</w:t>
      </w:r>
    </w:p>
    <w:tbl>
      <w:tblPr>
        <w:tblStyle w:val="a6"/>
        <w:tblW w:w="8353" w:type="dxa"/>
        <w:tblLook w:val="04A0" w:firstRow="1" w:lastRow="0" w:firstColumn="1" w:lastColumn="0" w:noHBand="0" w:noVBand="1"/>
      </w:tblPr>
      <w:tblGrid>
        <w:gridCol w:w="2376"/>
        <w:gridCol w:w="5977"/>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中国（上海）自由贸易试验区富特北路277号3层310室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上海市长宁区福泉北路</w:t>
            </w:r>
            <w:r>
              <w:rPr>
                <w:sz w:val="21"/>
              </w:rPr>
              <w:t xml:space="preserve"> </w:t>
            </w:r>
            <w:r>
              <w:rPr>
                <w:rFonts w:hint="eastAsia"/>
                <w:sz w:val="21"/>
              </w:rPr>
              <w:t>518</w:t>
            </w:r>
            <w:r>
              <w:rPr>
                <w:sz w:val="21"/>
              </w:rPr>
              <w:t xml:space="preserve"> </w:t>
            </w:r>
            <w:r>
              <w:rPr>
                <w:rFonts w:hint="eastAsia"/>
                <w:sz w:val="21"/>
              </w:rPr>
              <w:t>号</w:t>
            </w:r>
            <w:r>
              <w:rPr>
                <w:sz w:val="21"/>
              </w:rPr>
              <w:t xml:space="preserve"> </w:t>
            </w:r>
            <w:r>
              <w:rPr>
                <w:rFonts w:hint="eastAsia"/>
                <w:sz w:val="21"/>
              </w:rPr>
              <w:t>8</w:t>
            </w:r>
            <w:r>
              <w:rPr>
                <w:sz w:val="21"/>
              </w:rPr>
              <w:t xml:space="preserve"> </w:t>
            </w:r>
            <w:r>
              <w:rPr>
                <w:rFonts w:hint="eastAsia"/>
                <w:sz w:val="21"/>
              </w:rPr>
              <w:t>座</w:t>
            </w:r>
            <w:r>
              <w:rPr>
                <w:sz w:val="21"/>
              </w:rPr>
              <w:t xml:space="preserve"> </w:t>
            </w:r>
            <w:r>
              <w:rPr>
                <w:rFonts w:hint="eastAsia"/>
                <w:sz w:val="21"/>
              </w:rPr>
              <w:t>3</w:t>
            </w:r>
            <w:r>
              <w:rPr>
                <w:sz w:val="21"/>
              </w:rPr>
              <w:t xml:space="preserve"> </w:t>
            </w:r>
            <w:r>
              <w:rPr>
                <w:rFonts w:hint="eastAsia"/>
                <w:sz w:val="21"/>
              </w:rPr>
              <w:t xml:space="preserve">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燕斌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兰敏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021-52822063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021-52975270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400-166-6788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www.66zichan.com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(50)北京坤元基金销售有限公司</w:t>
      </w:r>
    </w:p>
    <w:tbl>
      <w:tblPr>
        <w:tblStyle w:val="a6"/>
        <w:tblW w:w="8353" w:type="dxa"/>
        <w:tblLook w:val="04A0" w:firstRow="1" w:lastRow="0" w:firstColumn="1" w:lastColumn="0" w:noHBand="0" w:noVBand="1"/>
      </w:tblPr>
      <w:tblGrid>
        <w:gridCol w:w="2281"/>
        <w:gridCol w:w="607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北京市延庆县延庆经济开发区百泉街10号2栋871室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北京市东城区建国门内大街8号B座501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李雪松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马镜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010-85264505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010-85264522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010-85264528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http://www.kunyuanfund.com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(51)泰信财富基金销售有限公司</w:t>
      </w:r>
    </w:p>
    <w:tbl>
      <w:tblPr>
        <w:tblStyle w:val="a6"/>
        <w:tblW w:w="8353" w:type="dxa"/>
        <w:tblLook w:val="04A0" w:firstRow="1" w:lastRow="0" w:firstColumn="1" w:lastColumn="0" w:noHBand="0" w:noVBand="1"/>
      </w:tblPr>
      <w:tblGrid>
        <w:gridCol w:w="2408"/>
        <w:gridCol w:w="5945"/>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北京市石景山区实兴大街30号院3号楼8层8995房间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北京市朝阳区建国路甲92号世茂大厦c-12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张虎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李丹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13601264918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010-53579751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4000048821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www.hxlc.com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(52)上海基煜基金销售有限公司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上海市崇明县长兴镇路潘园公路1800号2号楼6153室（上海泰和经济发展区）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上海市浦东新区银城中路488号太平金融大厦1503室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王翔</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蓝杰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021-65370077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021-55085991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400-820-5369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www.jiyufund.com.cn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(53)上海陆金所基金销售有限公司</w:t>
      </w:r>
    </w:p>
    <w:tbl>
      <w:tblPr>
        <w:tblStyle w:val="a6"/>
        <w:tblW w:w="8353" w:type="dxa"/>
        <w:tblLook w:val="04A0" w:firstRow="1" w:lastRow="0" w:firstColumn="1" w:lastColumn="0" w:noHBand="0" w:noVBand="1"/>
      </w:tblPr>
      <w:tblGrid>
        <w:gridCol w:w="2384"/>
        <w:gridCol w:w="5969"/>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上海市浦东新区陆家嘴环路1333号14楼09单元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上海市浦东新区陆家嘴环路1333号14楼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法定代表人： </w:t>
            </w:r>
          </w:p>
        </w:tc>
        <w:tc>
          <w:tcPr>
            <w:tcW w:w="7440" w:type="dxa"/>
            <w:shd w:val="clear" w:color="auto" w:fill="auto"/>
          </w:tcPr>
          <w:p w:rsidR="002C1A0C" w:rsidRDefault="00864859">
            <w:pPr>
              <w:pStyle w:val="a5"/>
              <w:rPr>
                <w:sz w:val="21"/>
              </w:rPr>
            </w:pPr>
            <w:r>
              <w:rPr>
                <w:rFonts w:hint="eastAsia"/>
                <w:sz w:val="21"/>
              </w:rPr>
              <w:t xml:space="preserve">郭坚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宁博宇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021-20665952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021-22066653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400-821-9031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www.lufunds.com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(54)珠海盈米基金销售有限公司</w:t>
      </w:r>
    </w:p>
    <w:tbl>
      <w:tblPr>
        <w:tblStyle w:val="a6"/>
        <w:tblW w:w="8353" w:type="dxa"/>
        <w:tblLook w:val="04A0" w:firstRow="1" w:lastRow="0" w:firstColumn="1" w:lastColumn="0" w:noHBand="0" w:noVBand="1"/>
      </w:tblPr>
      <w:tblGrid>
        <w:gridCol w:w="2400"/>
        <w:gridCol w:w="595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珠海市横琴新区宝华路6号105室-3491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广州市海珠区琶洲大道东1号保利国际广场南塔12楼B1201-1203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肖雯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吴煜浩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020-89629099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020-89629011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020-80629066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www.yingmi.cn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(55)北京肯特瑞基金销售有限公司</w:t>
      </w:r>
    </w:p>
    <w:tbl>
      <w:tblPr>
        <w:tblStyle w:val="a6"/>
        <w:tblW w:w="8353" w:type="dxa"/>
        <w:tblLook w:val="04A0" w:firstRow="1" w:lastRow="0" w:firstColumn="1" w:lastColumn="0" w:noHBand="0" w:noVBand="1"/>
      </w:tblPr>
      <w:tblGrid>
        <w:gridCol w:w="2368"/>
        <w:gridCol w:w="5985"/>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北京市海淀区海淀东三街2号4层401-15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北京市经济开发区科创十一街18号院京东总部A座4层A428室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江卉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徐伯宇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400-098-8511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010-89188000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400-088-8816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http://jr.jd.com/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(56)大连网金基金销售有限公司</w:t>
      </w:r>
    </w:p>
    <w:tbl>
      <w:tblPr>
        <w:tblStyle w:val="a6"/>
        <w:tblW w:w="8353" w:type="dxa"/>
        <w:tblLook w:val="04A0" w:firstRow="1" w:lastRow="0" w:firstColumn="1" w:lastColumn="0" w:noHBand="0" w:noVBand="1"/>
      </w:tblPr>
      <w:tblGrid>
        <w:gridCol w:w="2302"/>
        <w:gridCol w:w="605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辽宁省大连市沙河口区体坛路22号2层202室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辽宁省大连市沙河口区体坛路22号2层202室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卜勇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卜勇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0411-39027800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0411-39027888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400-089-9100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http://www.yibaijin.com/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(57)深圳市金斧子基金销售有限公司</w:t>
      </w:r>
    </w:p>
    <w:tbl>
      <w:tblPr>
        <w:tblStyle w:val="a6"/>
        <w:tblW w:w="8353" w:type="dxa"/>
        <w:tblLook w:val="04A0" w:firstRow="1" w:lastRow="0" w:firstColumn="1" w:lastColumn="0" w:noHBand="0" w:noVBand="1"/>
      </w:tblPr>
      <w:tblGrid>
        <w:gridCol w:w="2392"/>
        <w:gridCol w:w="596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深圳市南山区粤海街道科技园中区科苑路15号科兴科学园B栋3单元11层1108</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深圳市南山区粤海街道科技园中区科苑路15号科兴科学园B栋3单元11层1108</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赖任军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联系人： </w:t>
            </w:r>
          </w:p>
        </w:tc>
        <w:tc>
          <w:tcPr>
            <w:tcW w:w="7440" w:type="dxa"/>
            <w:shd w:val="clear" w:color="auto" w:fill="auto"/>
          </w:tcPr>
          <w:p w:rsidR="002C1A0C" w:rsidRDefault="00864859">
            <w:pPr>
              <w:pStyle w:val="a5"/>
              <w:rPr>
                <w:sz w:val="21"/>
              </w:rPr>
            </w:pPr>
            <w:r>
              <w:rPr>
                <w:rFonts w:hint="eastAsia"/>
                <w:sz w:val="21"/>
              </w:rPr>
              <w:t xml:space="preserve">刘昕霞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0755-29330513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0755-26920530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400-930-0660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www.jfzinv.com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(58)北京蛋卷基金销售有限公司</w:t>
      </w:r>
    </w:p>
    <w:tbl>
      <w:tblPr>
        <w:tblStyle w:val="a6"/>
        <w:tblW w:w="8353" w:type="dxa"/>
        <w:tblLook w:val="04A0" w:firstRow="1" w:lastRow="0" w:firstColumn="1" w:lastColumn="0" w:noHBand="0" w:noVBand="1"/>
      </w:tblPr>
      <w:tblGrid>
        <w:gridCol w:w="2392"/>
        <w:gridCol w:w="596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北京市朝阳区阜通东大街1号院6号楼2单元21层222507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北京市朝阳区阜通东大街1号院6号楼2单元21层222507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钟斐斐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戚晓强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15810005516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010-85659484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400-061-8518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danjuanapp.com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(59)深圳前海财厚基金销售有限公司</w:t>
      </w:r>
    </w:p>
    <w:tbl>
      <w:tblPr>
        <w:tblStyle w:val="a6"/>
        <w:tblW w:w="8353" w:type="dxa"/>
        <w:tblLook w:val="04A0" w:firstRow="1" w:lastRow="0" w:firstColumn="1" w:lastColumn="0" w:noHBand="0" w:noVBand="1"/>
      </w:tblPr>
      <w:tblGrid>
        <w:gridCol w:w="2400"/>
        <w:gridCol w:w="595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深圳市前海深港合作区前湾一路1号A栋201室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深圳市南山区深圳湾科技生态园三区11栋A座3608室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杨艳平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叶见云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0755-86575665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0755-26640652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4001286800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www.caiho.cn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(60)中信期货有限公司</w:t>
      </w:r>
    </w:p>
    <w:tbl>
      <w:tblPr>
        <w:tblStyle w:val="a6"/>
        <w:tblW w:w="8353" w:type="dxa"/>
        <w:tblLook w:val="04A0" w:firstRow="1" w:lastRow="0" w:firstColumn="1" w:lastColumn="0" w:noHBand="0" w:noVBand="1"/>
      </w:tblPr>
      <w:tblGrid>
        <w:gridCol w:w="2384"/>
        <w:gridCol w:w="5969"/>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深圳市福田区中心三路8号卓越时代广场（二期）北座13层1301-1305室、14层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深圳市福田区中心三路8号卓越时代广场（二期）北座13层1301-1305室、14层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张皓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刘宏莹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021-60833754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010-57762999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400-990-8826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www.citicsf.com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(61)弘业期货股份有限公司</w:t>
      </w:r>
    </w:p>
    <w:tbl>
      <w:tblPr>
        <w:tblStyle w:val="a6"/>
        <w:tblW w:w="8353" w:type="dxa"/>
        <w:tblLook w:val="04A0" w:firstRow="1" w:lastRow="0" w:firstColumn="1" w:lastColumn="0" w:noHBand="0" w:noVBand="1"/>
      </w:tblPr>
      <w:tblGrid>
        <w:gridCol w:w="2384"/>
        <w:gridCol w:w="5969"/>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南京市中华路50号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南京市中华路50号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周剑秋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孙朝旺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025-52278870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025-52313068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400-828-1288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www.ftol.com.cn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(62)国泰君安证券股份有限公司</w:t>
      </w:r>
    </w:p>
    <w:tbl>
      <w:tblPr>
        <w:tblStyle w:val="a6"/>
        <w:tblW w:w="8353" w:type="dxa"/>
        <w:tblLook w:val="04A0" w:firstRow="1" w:lastRow="0" w:firstColumn="1" w:lastColumn="0" w:noHBand="0" w:noVBand="1"/>
      </w:tblPr>
      <w:tblGrid>
        <w:gridCol w:w="2408"/>
        <w:gridCol w:w="5945"/>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中国（上海）自由贸易试验区商城路618号</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上海市浦东新区银城中路168号上海银行大厦29楼</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杨德红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芮敏祺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021－38676666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021－38670161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95521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www.gtja.com</w:t>
            </w:r>
            <w:r>
              <w:rPr>
                <w:sz w:val="21"/>
              </w:rPr>
              <w:t xml:space="preserve"> </w:t>
            </w:r>
            <w:r>
              <w:rPr>
                <w:rFonts w:hint="eastAsia"/>
                <w:sz w:val="21"/>
              </w:rPr>
              <w:t xml:space="preserve">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(63)中信建投证券股份有限公司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北京市朝阳区安立路66号4号楼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北京市朝阳门内大街188号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王常青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刘畅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010-65608231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010－65182261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4008888108/95587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http://www.csc108.com/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(64)招商证券股份有限公司</w:t>
      </w:r>
    </w:p>
    <w:tbl>
      <w:tblPr>
        <w:tblStyle w:val="a6"/>
        <w:tblW w:w="8353" w:type="dxa"/>
        <w:tblLook w:val="04A0" w:firstRow="1" w:lastRow="0" w:firstColumn="1" w:lastColumn="0" w:noHBand="0" w:noVBand="1"/>
      </w:tblPr>
      <w:tblGrid>
        <w:gridCol w:w="2291"/>
        <w:gridCol w:w="606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深圳市福田区福田街道福华一路111号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深圳市福田区福华一路111号招商证券大厦23楼</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霍达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黄婵君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0755-82943666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0755-83734343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4008888111；95565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http://www.newone.com.cn/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(65)广发证券股份有限公司</w:t>
      </w:r>
    </w:p>
    <w:tbl>
      <w:tblPr>
        <w:tblStyle w:val="a6"/>
        <w:tblW w:w="8353" w:type="dxa"/>
        <w:tblLook w:val="04A0" w:firstRow="1" w:lastRow="0" w:firstColumn="1" w:lastColumn="0" w:noHBand="0" w:noVBand="1"/>
      </w:tblPr>
      <w:tblGrid>
        <w:gridCol w:w="2332"/>
        <w:gridCol w:w="602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广州天河区天河北路183-187号大都会广场43楼（4301-4316房）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广州市天河区马场路26号广发证券大厦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孙树明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黄岚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020－87555888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020－87555305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95575或020-95575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http://www.gf.com.cn/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(66)中信证券股份有限公司</w:t>
      </w:r>
    </w:p>
    <w:tbl>
      <w:tblPr>
        <w:tblStyle w:val="a6"/>
        <w:tblW w:w="8353" w:type="dxa"/>
        <w:tblLook w:val="04A0" w:firstRow="1" w:lastRow="0" w:firstColumn="1" w:lastColumn="0" w:noHBand="0" w:noVBand="1"/>
      </w:tblPr>
      <w:tblGrid>
        <w:gridCol w:w="2291"/>
        <w:gridCol w:w="6062"/>
      </w:tblGrid>
      <w:tr w:rsidR="002C1A0C">
        <w:tc>
          <w:tcPr>
            <w:tcW w:w="3000" w:type="dxa"/>
            <w:shd w:val="clear" w:color="auto" w:fill="auto"/>
          </w:tcPr>
          <w:p w:rsidR="002C1A0C" w:rsidRDefault="00864859">
            <w:pPr>
              <w:pStyle w:val="a5"/>
              <w:rPr>
                <w:sz w:val="21"/>
              </w:rPr>
            </w:pPr>
            <w:r>
              <w:rPr>
                <w:rFonts w:hint="eastAsia"/>
                <w:sz w:val="21"/>
              </w:rPr>
              <w:lastRenderedPageBreak/>
              <w:t xml:space="preserve">注册地址： </w:t>
            </w:r>
          </w:p>
        </w:tc>
        <w:tc>
          <w:tcPr>
            <w:tcW w:w="7440" w:type="dxa"/>
            <w:shd w:val="clear" w:color="auto" w:fill="auto"/>
          </w:tcPr>
          <w:p w:rsidR="002C1A0C" w:rsidRDefault="00864859">
            <w:pPr>
              <w:pStyle w:val="a5"/>
              <w:rPr>
                <w:sz w:val="21"/>
              </w:rPr>
            </w:pPr>
            <w:r>
              <w:rPr>
                <w:rFonts w:hint="eastAsia"/>
                <w:sz w:val="21"/>
              </w:rPr>
              <w:t xml:space="preserve">广东省深圳市福田区中心三路8号卓越时代广场（二期）北座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北京朝阳区新源南路6号京城大厦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张佑君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马静懿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010-60833889</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010－84865560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400-889-5548/95548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http://www.cs.ecitic.com/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(67)中国银河证券股份有限公司</w:t>
      </w:r>
    </w:p>
    <w:tbl>
      <w:tblPr>
        <w:tblStyle w:val="a6"/>
        <w:tblW w:w="8353" w:type="dxa"/>
        <w:tblLook w:val="04A0" w:firstRow="1" w:lastRow="0" w:firstColumn="1" w:lastColumn="0" w:noHBand="0" w:noVBand="1"/>
      </w:tblPr>
      <w:tblGrid>
        <w:gridCol w:w="2246"/>
        <w:gridCol w:w="6107"/>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北京市西城区金融大街35号国际企业大厦C座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北京市西城区金融大街35号国际企业大厦C座2－6层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陈共炎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辛国政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010-83574507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010-66568990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95551/4008888888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http://www.chinastock.com.cn/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(68)海通证券股份有限公司</w:t>
      </w:r>
    </w:p>
    <w:tbl>
      <w:tblPr>
        <w:tblStyle w:val="a6"/>
        <w:tblW w:w="8353" w:type="dxa"/>
        <w:tblLook w:val="04A0" w:firstRow="1" w:lastRow="0" w:firstColumn="1" w:lastColumn="0" w:noHBand="0" w:noVBand="1"/>
      </w:tblPr>
      <w:tblGrid>
        <w:gridCol w:w="2332"/>
        <w:gridCol w:w="602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上海市淮海中路98号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上海市广东路689号海通证券大厦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周杰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李笑鸣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021-23219275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021－63602722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95553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http://www.htsec.com/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(69)申万宏源证券有限公司</w:t>
      </w:r>
    </w:p>
    <w:tbl>
      <w:tblPr>
        <w:tblStyle w:val="a6"/>
        <w:tblW w:w="8353" w:type="dxa"/>
        <w:tblLook w:val="04A0" w:firstRow="1" w:lastRow="0" w:firstColumn="1" w:lastColumn="0" w:noHBand="0" w:noVBand="1"/>
      </w:tblPr>
      <w:tblGrid>
        <w:gridCol w:w="2392"/>
        <w:gridCol w:w="596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上海市徐汇区长乐路989号45层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上海市徐汇区长乐路989号45层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李梅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余敏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021-33388252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021-33388224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95523或4008895523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www.swhysc.com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(70)长江证券股份有限公司</w:t>
      </w:r>
    </w:p>
    <w:tbl>
      <w:tblPr>
        <w:tblStyle w:val="a6"/>
        <w:tblW w:w="8353" w:type="dxa"/>
        <w:tblLook w:val="04A0" w:firstRow="1" w:lastRow="0" w:firstColumn="1" w:lastColumn="0" w:noHBand="0" w:noVBand="1"/>
      </w:tblPr>
      <w:tblGrid>
        <w:gridCol w:w="2332"/>
        <w:gridCol w:w="602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武汉市新华路特8号长江证券大厦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武汉市新华路特8号长江证券大厦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尤习贵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奚博宇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027-65799999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传真： </w:t>
            </w:r>
          </w:p>
        </w:tc>
        <w:tc>
          <w:tcPr>
            <w:tcW w:w="7440" w:type="dxa"/>
            <w:shd w:val="clear" w:color="auto" w:fill="auto"/>
          </w:tcPr>
          <w:p w:rsidR="002C1A0C" w:rsidRDefault="00864859">
            <w:pPr>
              <w:pStyle w:val="a5"/>
              <w:rPr>
                <w:sz w:val="21"/>
              </w:rPr>
            </w:pPr>
            <w:r>
              <w:rPr>
                <w:rFonts w:hint="eastAsia"/>
                <w:sz w:val="21"/>
              </w:rPr>
              <w:t xml:space="preserve">027-85481900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95579;4008-888-999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http://www.95579.com/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(71)安信证券股份有限公司</w:t>
      </w:r>
    </w:p>
    <w:tbl>
      <w:tblPr>
        <w:tblStyle w:val="a6"/>
        <w:tblW w:w="8353" w:type="dxa"/>
        <w:tblLook w:val="04A0" w:firstRow="1" w:lastRow="0" w:firstColumn="1" w:lastColumn="0" w:noHBand="0" w:noVBand="1"/>
      </w:tblPr>
      <w:tblGrid>
        <w:gridCol w:w="2291"/>
        <w:gridCol w:w="606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深圳市福田区金田路4018号安联大厦35层、28层A02单元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深圳市福田区金田路4018号安联大厦35层、28层A02单元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王连志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刘志斌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0755-82558323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0755－82558355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95517,4008001001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http://www.essence.com.cn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(72)万联证券股份有限公司</w:t>
      </w:r>
    </w:p>
    <w:tbl>
      <w:tblPr>
        <w:tblStyle w:val="a6"/>
        <w:tblW w:w="8353" w:type="dxa"/>
        <w:tblLook w:val="04A0" w:firstRow="1" w:lastRow="0" w:firstColumn="1" w:lastColumn="0" w:noHBand="0" w:noVBand="1"/>
      </w:tblPr>
      <w:tblGrid>
        <w:gridCol w:w="2359"/>
        <w:gridCol w:w="5994"/>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广州市天河区珠江东路11号高德置地广场F栋18、19层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广州市天河区珠江东路11号高德置地广场F栋18、19层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张建军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王鑫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020-38286686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020－22373718－1013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4008888133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http://www.wlzq.cn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(73)华泰证券股份有限公司</w:t>
      </w:r>
    </w:p>
    <w:tbl>
      <w:tblPr>
        <w:tblStyle w:val="a6"/>
        <w:tblW w:w="8353" w:type="dxa"/>
        <w:tblLook w:val="04A0" w:firstRow="1" w:lastRow="0" w:firstColumn="1" w:lastColumn="0" w:noHBand="0" w:noVBand="1"/>
      </w:tblPr>
      <w:tblGrid>
        <w:gridCol w:w="2312"/>
        <w:gridCol w:w="604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南京市江东中路228号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办公地址 南京市建邺区江东中路228号华泰证券广场、深圳市福田区深南大道4011号港中旅大厦18楼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周易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庞晓芸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0755-82492193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0755-82492962（深圳）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95597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http://www.htsc.com.cn/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(74)中信证券（山东）有限责任公司</w:t>
      </w:r>
    </w:p>
    <w:tbl>
      <w:tblPr>
        <w:tblStyle w:val="a6"/>
        <w:tblW w:w="8353" w:type="dxa"/>
        <w:tblLook w:val="04A0" w:firstRow="1" w:lastRow="0" w:firstColumn="1" w:lastColumn="0" w:noHBand="0" w:noVBand="1"/>
      </w:tblPr>
      <w:tblGrid>
        <w:gridCol w:w="2291"/>
        <w:gridCol w:w="606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青岛市崂山区深圳路222号青岛国际金融广场1号楼20层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青岛市市南区东海西路28号龙翔广场东2、5层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姜晓林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孙秋月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0532-85022026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0532-85022605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95548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http://www.zxzqsd.com.cn/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(75)东方证券股份有限公司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lastRenderedPageBreak/>
              <w:t xml:space="preserve">注册地址： </w:t>
            </w:r>
          </w:p>
        </w:tc>
        <w:tc>
          <w:tcPr>
            <w:tcW w:w="7440" w:type="dxa"/>
            <w:shd w:val="clear" w:color="auto" w:fill="auto"/>
          </w:tcPr>
          <w:p w:rsidR="002C1A0C" w:rsidRDefault="00864859">
            <w:pPr>
              <w:pStyle w:val="a5"/>
              <w:rPr>
                <w:sz w:val="21"/>
              </w:rPr>
            </w:pPr>
            <w:r>
              <w:rPr>
                <w:rFonts w:hint="eastAsia"/>
                <w:sz w:val="21"/>
              </w:rPr>
              <w:t xml:space="preserve">上海市中山南路318号2号楼22层－29层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上海市中山南路318号2号楼21层－29层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潘鑫军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朱琼玉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021-63325888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021－63326729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95503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http://www.dfzq.com.cn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(76)长城证券股份有限公司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深圳市深南大道6008号特区报业大厦16、17层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深圳市深南大道6008号特区报业大厦14、16、17层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丁益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沈晓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0755-83464734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0755－83515567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4006666888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http://www.cgws.com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(77)光大证券股份有限公司</w:t>
      </w:r>
    </w:p>
    <w:tbl>
      <w:tblPr>
        <w:tblStyle w:val="a6"/>
        <w:tblW w:w="8353" w:type="dxa"/>
        <w:tblLook w:val="04A0" w:firstRow="1" w:lastRow="0" w:firstColumn="1" w:lastColumn="0" w:noHBand="0" w:noVBand="1"/>
      </w:tblPr>
      <w:tblGrid>
        <w:gridCol w:w="2332"/>
        <w:gridCol w:w="602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上海市静安区新闸路1508号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上海市静安区新闸路1508号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周健男</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李芳芳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021-22169089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021－22169134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4008888788；95525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http://www.ebscn.com/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(78)东北证券股份有限公司</w:t>
      </w:r>
    </w:p>
    <w:tbl>
      <w:tblPr>
        <w:tblStyle w:val="a6"/>
        <w:tblW w:w="8353" w:type="dxa"/>
        <w:tblLook w:val="04A0" w:firstRow="1" w:lastRow="0" w:firstColumn="1" w:lastColumn="0" w:noHBand="0" w:noVBand="1"/>
      </w:tblPr>
      <w:tblGrid>
        <w:gridCol w:w="2359"/>
        <w:gridCol w:w="5994"/>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长春市生态大街6666号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长春市生态大街6666号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李福春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安岩岩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0431-85096517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0431-85096795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95360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http://www.nesc.cn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(79)上海证券有限责任公司</w:t>
      </w:r>
    </w:p>
    <w:tbl>
      <w:tblPr>
        <w:tblStyle w:val="a6"/>
        <w:tblW w:w="8353" w:type="dxa"/>
        <w:tblLook w:val="04A0" w:firstRow="1" w:lastRow="0" w:firstColumn="1" w:lastColumn="0" w:noHBand="0" w:noVBand="1"/>
      </w:tblPr>
      <w:tblGrid>
        <w:gridCol w:w="2332"/>
        <w:gridCol w:w="602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上海市黄浦区四川中路213号7楼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上海市黄浦区四川中路213号7楼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李俊杰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邵珍珍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021-53686262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传真： </w:t>
            </w:r>
          </w:p>
        </w:tc>
        <w:tc>
          <w:tcPr>
            <w:tcW w:w="7440" w:type="dxa"/>
            <w:shd w:val="clear" w:color="auto" w:fill="auto"/>
          </w:tcPr>
          <w:p w:rsidR="002C1A0C" w:rsidRDefault="00864859">
            <w:pPr>
              <w:pStyle w:val="a5"/>
              <w:rPr>
                <w:sz w:val="21"/>
              </w:rPr>
            </w:pPr>
            <w:r>
              <w:rPr>
                <w:rFonts w:hint="eastAsia"/>
                <w:sz w:val="21"/>
              </w:rPr>
              <w:t xml:space="preserve">021-63608830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4008918918、021-962518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https://www.shzq.com/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(80)平安证券股份有限公司</w:t>
      </w:r>
    </w:p>
    <w:tbl>
      <w:tblPr>
        <w:tblStyle w:val="a6"/>
        <w:tblW w:w="8353" w:type="dxa"/>
        <w:tblLook w:val="04A0" w:firstRow="1" w:lastRow="0" w:firstColumn="1" w:lastColumn="0" w:noHBand="0" w:noVBand="1"/>
      </w:tblPr>
      <w:tblGrid>
        <w:gridCol w:w="2291"/>
        <w:gridCol w:w="606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广东省深圳市福田中心区金田路4036号荣超大厦16-20层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广东省深圳市福田中心区金田路4036号荣超大厦16-20层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何之江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周一涵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sz w:val="21"/>
              </w:rPr>
              <w:t>021-38637436</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0755－82400862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0755-22628888/95511-8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http:www.stock.pingan.com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(81)国都证券股份有限公司</w:t>
      </w:r>
    </w:p>
    <w:tbl>
      <w:tblPr>
        <w:tblStyle w:val="a6"/>
        <w:tblW w:w="8353" w:type="dxa"/>
        <w:tblLook w:val="04A0" w:firstRow="1" w:lastRow="0" w:firstColumn="1" w:lastColumn="0" w:noHBand="0" w:noVBand="1"/>
      </w:tblPr>
      <w:tblGrid>
        <w:gridCol w:w="2341"/>
        <w:gridCol w:w="601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北京市东城区东直门南大街3号国华投资大厦9层10层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北京市东城区东直门南大街3号国华投资大厦9层10层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刘河斌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010-84183633</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010-84183311-3389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400-818-8118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http://www.guodu.com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(82)申万宏源西部证券有限公司</w:t>
      </w:r>
    </w:p>
    <w:tbl>
      <w:tblPr>
        <w:tblStyle w:val="a6"/>
        <w:tblW w:w="8353" w:type="dxa"/>
        <w:tblLook w:val="04A0" w:firstRow="1" w:lastRow="0" w:firstColumn="1" w:lastColumn="0" w:noHBand="0" w:noVBand="1"/>
      </w:tblPr>
      <w:tblGrid>
        <w:gridCol w:w="2341"/>
        <w:gridCol w:w="601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新疆乌鲁木齐市高新区（新市区）北京南路358号大成国际大厦20楼2005室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北京市西城区太平桥大街19号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李季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唐岚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010－88085201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010－88085195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4008000562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http://www.hysec.com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(83)中泰证券股份有限公司</w:t>
      </w:r>
    </w:p>
    <w:tbl>
      <w:tblPr>
        <w:tblStyle w:val="a6"/>
        <w:tblW w:w="8353" w:type="dxa"/>
        <w:tblLook w:val="04A0" w:firstRow="1" w:lastRow="0" w:firstColumn="1" w:lastColumn="0" w:noHBand="0" w:noVBand="1"/>
      </w:tblPr>
      <w:tblGrid>
        <w:gridCol w:w="2392"/>
        <w:gridCol w:w="596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山东省济南市经十路20518号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山东省济南市经七路86号23层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李玮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朱琴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021-20315161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0531-68889357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95538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www.zts.com.cn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(84)世纪证券有限责任公司</w:t>
      </w:r>
    </w:p>
    <w:tbl>
      <w:tblPr>
        <w:tblStyle w:val="a6"/>
        <w:tblW w:w="8353" w:type="dxa"/>
        <w:tblLook w:val="04A0" w:firstRow="1" w:lastRow="0" w:firstColumn="1" w:lastColumn="0" w:noHBand="0" w:noVBand="1"/>
      </w:tblPr>
      <w:tblGrid>
        <w:gridCol w:w="2302"/>
        <w:gridCol w:w="6051"/>
      </w:tblGrid>
      <w:tr w:rsidR="002C1A0C">
        <w:tc>
          <w:tcPr>
            <w:tcW w:w="3000" w:type="dxa"/>
            <w:shd w:val="clear" w:color="auto" w:fill="auto"/>
          </w:tcPr>
          <w:p w:rsidR="002C1A0C" w:rsidRDefault="00864859">
            <w:pPr>
              <w:pStyle w:val="a5"/>
              <w:rPr>
                <w:sz w:val="21"/>
              </w:rPr>
            </w:pPr>
            <w:r>
              <w:rPr>
                <w:rFonts w:hint="eastAsia"/>
                <w:sz w:val="21"/>
              </w:rPr>
              <w:lastRenderedPageBreak/>
              <w:t xml:space="preserve">注册地址： </w:t>
            </w:r>
          </w:p>
        </w:tc>
        <w:tc>
          <w:tcPr>
            <w:tcW w:w="7440" w:type="dxa"/>
            <w:shd w:val="clear" w:color="auto" w:fill="auto"/>
          </w:tcPr>
          <w:p w:rsidR="002C1A0C" w:rsidRDefault="00864859">
            <w:pPr>
              <w:pStyle w:val="a5"/>
              <w:rPr>
                <w:sz w:val="21"/>
              </w:rPr>
            </w:pPr>
            <w:r>
              <w:rPr>
                <w:rFonts w:hint="eastAsia"/>
                <w:sz w:val="21"/>
              </w:rPr>
              <w:t xml:space="preserve">深圳市前海深港合作区南山街道桂湾五路128号前海深港基金小镇对冲基金中心406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深圳市深南大道7088号招商银行大厦40－42楼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李强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王雯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0755-83199511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0755－83199545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0755-83199599/4008323000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http://www.csco.com.cn/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(85)第一创业证券股份有限公司</w:t>
      </w:r>
    </w:p>
    <w:tbl>
      <w:tblPr>
        <w:tblStyle w:val="a6"/>
        <w:tblW w:w="8353" w:type="dxa"/>
        <w:tblLook w:val="04A0" w:firstRow="1" w:lastRow="0" w:firstColumn="1" w:lastColumn="0" w:noHBand="0" w:noVBand="1"/>
      </w:tblPr>
      <w:tblGrid>
        <w:gridCol w:w="2221"/>
        <w:gridCol w:w="613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深圳市福田区福华一路115号投行大厦20楼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深圳市福田区福华一路115号投行大厦18楼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刘学民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王叔胤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0755-23838776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0755-25838701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95358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http://www.firstcapital.com.cn/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(86)财通证券股份有限公司</w:t>
      </w:r>
    </w:p>
    <w:tbl>
      <w:tblPr>
        <w:tblStyle w:val="a6"/>
        <w:tblW w:w="8353" w:type="dxa"/>
        <w:tblLook w:val="04A0" w:firstRow="1" w:lastRow="0" w:firstColumn="1" w:lastColumn="0" w:noHBand="0" w:noVBand="1"/>
      </w:tblPr>
      <w:tblGrid>
        <w:gridCol w:w="2341"/>
        <w:gridCol w:w="6012"/>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杭州市解放路111号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杭州市杭大路15号嘉华国际商务中心1602室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陆建强</w:t>
            </w:r>
            <w:r>
              <w:rPr>
                <w:sz w:val="21"/>
              </w:rPr>
              <w:t xml:space="preserve"> </w:t>
            </w:r>
            <w:r>
              <w:rPr>
                <w:rFonts w:hint="eastAsia"/>
                <w:sz w:val="21"/>
              </w:rPr>
              <w:t xml:space="preserve">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陶志华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0571-87789160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0571－87925100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95336（上海地区962336）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http://www.ctsec.com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(87)中山证券有限责任公司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深圳市南山区创业路1777号海信南方大厦21、22层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深圳市南山区创业路1777号海信南方大厦21、22层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林炳城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罗艺琳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0755-82943755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0755-82960582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95329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http://www.zszq.com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(88)西藏东方财富证券股份有限公司</w:t>
      </w:r>
    </w:p>
    <w:tbl>
      <w:tblPr>
        <w:tblStyle w:val="a6"/>
        <w:tblW w:w="8353" w:type="dxa"/>
        <w:tblLook w:val="04A0" w:firstRow="1" w:lastRow="0" w:firstColumn="1" w:lastColumn="0" w:noHBand="0" w:noVBand="1"/>
      </w:tblPr>
      <w:tblGrid>
        <w:gridCol w:w="2376"/>
        <w:gridCol w:w="5977"/>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西藏自治区拉萨市柳梧新区国际总部城10栋楼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上海市徐汇区宛平南路88号金座东方财富大厦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陈宏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付佳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电话： </w:t>
            </w:r>
          </w:p>
        </w:tc>
        <w:tc>
          <w:tcPr>
            <w:tcW w:w="7440" w:type="dxa"/>
            <w:shd w:val="clear" w:color="auto" w:fill="auto"/>
          </w:tcPr>
          <w:p w:rsidR="002C1A0C" w:rsidRDefault="00864859">
            <w:pPr>
              <w:pStyle w:val="a5"/>
              <w:rPr>
                <w:sz w:val="21"/>
              </w:rPr>
            </w:pPr>
            <w:r>
              <w:rPr>
                <w:rFonts w:hint="eastAsia"/>
                <w:sz w:val="21"/>
              </w:rPr>
              <w:t xml:space="preserve">021-23586603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021-23586860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95357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http://www.18.cn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(89)</w:t>
      </w:r>
      <w:r>
        <w:rPr>
          <w:rFonts w:hint="eastAsia"/>
        </w:rPr>
        <w:t xml:space="preserve"> </w:t>
      </w:r>
      <w:r>
        <w:rPr>
          <w:rFonts w:hint="eastAsia"/>
          <w:b/>
          <w:bCs/>
          <w:sz w:val="21"/>
          <w:szCs w:val="21"/>
        </w:rPr>
        <w:t>粤开证券股份有限公司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惠州市江北东江三路55号广播电视新闻中心西面一层大堂和三、四层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深圳市福田区深南中路2002号中广核大厦北楼10层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严亦斌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彭莲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0755-83331195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021-33606760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95564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sz w:val="21"/>
              </w:rPr>
              <w:t>http://www.ykzq.com</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(90)国金证券股份有限公司</w:t>
      </w:r>
    </w:p>
    <w:tbl>
      <w:tblPr>
        <w:tblStyle w:val="a6"/>
        <w:tblW w:w="8353" w:type="dxa"/>
        <w:tblLook w:val="04A0" w:firstRow="1" w:lastRow="0" w:firstColumn="1" w:lastColumn="0" w:noHBand="0" w:noVBand="1"/>
      </w:tblPr>
      <w:tblGrid>
        <w:gridCol w:w="2322"/>
        <w:gridCol w:w="603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四川省成都市东城根上街95号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四川省成都市东城根上街95号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冉云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刘婧漪、贾鹏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028-86690057、028-86690058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028-86690126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4006-600109/95310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http://www.gjzq.com.cn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(91)开源证券股份有限公司</w:t>
      </w:r>
    </w:p>
    <w:tbl>
      <w:tblPr>
        <w:tblStyle w:val="a6"/>
        <w:tblW w:w="8353" w:type="dxa"/>
        <w:tblLook w:val="04A0" w:firstRow="1" w:lastRow="0" w:firstColumn="1" w:lastColumn="0" w:noHBand="0" w:noVBand="1"/>
      </w:tblPr>
      <w:tblGrid>
        <w:gridCol w:w="2302"/>
        <w:gridCol w:w="605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陕西省西安市高新区锦业路1号都市之门B座5层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陕西省西安市高新区锦业路1号都市之门B座5层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李刚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曹欣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029-88447611/18089157914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86-29-88365835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95325</w:t>
            </w:r>
            <w:r>
              <w:rPr>
                <w:sz w:val="21"/>
              </w:rPr>
              <w:t xml:space="preserve"> </w:t>
            </w:r>
            <w:r>
              <w:rPr>
                <w:rFonts w:hint="eastAsia"/>
                <w:sz w:val="21"/>
              </w:rPr>
              <w:t xml:space="preserve">/400-860-8866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www.kysec.cn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(92)华瑞保险销售有限公司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上海市嘉定区南翔镇众仁路399号运通星财富广场1号楼B座13、14层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上海市浦东区向城路288号国华金融大厦8楼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路昊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张爽爽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021-68595976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021-68595766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4001115818 </w:t>
            </w:r>
          </w:p>
        </w:tc>
      </w:tr>
      <w:tr w:rsidR="002C1A0C">
        <w:tc>
          <w:tcPr>
            <w:tcW w:w="3000" w:type="dxa"/>
            <w:shd w:val="clear" w:color="auto" w:fill="auto"/>
          </w:tcPr>
          <w:p w:rsidR="002C1A0C" w:rsidRDefault="00864859">
            <w:pPr>
              <w:pStyle w:val="a5"/>
              <w:rPr>
                <w:sz w:val="21"/>
              </w:rPr>
            </w:pPr>
            <w:r>
              <w:rPr>
                <w:rFonts w:hint="eastAsia"/>
                <w:sz w:val="21"/>
              </w:rPr>
              <w:lastRenderedPageBreak/>
              <w:t xml:space="preserve">网址： </w:t>
            </w:r>
          </w:p>
        </w:tc>
        <w:tc>
          <w:tcPr>
            <w:tcW w:w="7440" w:type="dxa"/>
            <w:shd w:val="clear" w:color="auto" w:fill="auto"/>
          </w:tcPr>
          <w:p w:rsidR="002C1A0C" w:rsidRDefault="00864859">
            <w:pPr>
              <w:pStyle w:val="a5"/>
              <w:rPr>
                <w:sz w:val="21"/>
              </w:rPr>
            </w:pPr>
            <w:r>
              <w:rPr>
                <w:rFonts w:hint="eastAsia"/>
                <w:sz w:val="21"/>
              </w:rPr>
              <w:t xml:space="preserve">www.huaruisales.com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(93)玄元保险代理有限公司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中国（上海）自由贸易试验区张杨路707号1105室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中国（上海）自由贸易试验区张杨路707号1105室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马永谙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卢亚博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021-50701053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021-50701053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4000808208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www.licaimofang.com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(94)阳光人寿保险股份有限公司</w:t>
      </w:r>
    </w:p>
    <w:tbl>
      <w:tblPr>
        <w:tblStyle w:val="a6"/>
        <w:tblW w:w="8353" w:type="dxa"/>
        <w:tblLook w:val="04A0" w:firstRow="1" w:lastRow="0" w:firstColumn="1" w:lastColumn="0" w:noHBand="0" w:noVBand="1"/>
      </w:tblPr>
      <w:tblGrid>
        <w:gridCol w:w="2302"/>
        <w:gridCol w:w="6051"/>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海南省三亚市迎宾路360-1号三亚阳光金融广场16层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北京市朝阳区朝外大街20号联合大厦701A室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李科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王超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010-59053660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010-85632773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95510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http://fund.sinosig.com/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(95)中国人寿保险股份有限公司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中国北京市西城区金融大街16号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中国北京市西城区金融大街16号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王滨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柳亚卿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010-63631536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010-66222276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95519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www.e-chinalife.com </w:t>
            </w:r>
          </w:p>
        </w:tc>
      </w:tr>
    </w:tbl>
    <w:p w:rsidR="002C1A0C" w:rsidRDefault="00864859">
      <w:pPr>
        <w:pStyle w:val="a5"/>
        <w:spacing w:before="0" w:beforeAutospacing="0" w:after="0" w:afterAutospacing="0" w:line="360" w:lineRule="auto"/>
        <w:ind w:firstLine="420"/>
        <w:rPr>
          <w:sz w:val="21"/>
          <w:szCs w:val="21"/>
        </w:rPr>
      </w:pPr>
      <w:r>
        <w:rPr>
          <w:rFonts w:hint="eastAsia"/>
          <w:b/>
          <w:bCs/>
          <w:sz w:val="21"/>
          <w:szCs w:val="21"/>
        </w:rPr>
        <w:t>(96)华融湘江银行股份有限公司</w:t>
      </w:r>
    </w:p>
    <w:tbl>
      <w:tblPr>
        <w:tblStyle w:val="a6"/>
        <w:tblW w:w="8353" w:type="dxa"/>
        <w:tblLook w:val="04A0" w:firstRow="1" w:lastRow="0" w:firstColumn="1" w:lastColumn="0" w:noHBand="0" w:noVBand="1"/>
      </w:tblPr>
      <w:tblGrid>
        <w:gridCol w:w="2350"/>
        <w:gridCol w:w="6003"/>
      </w:tblGrid>
      <w:tr w:rsidR="002C1A0C">
        <w:tc>
          <w:tcPr>
            <w:tcW w:w="3000" w:type="dxa"/>
            <w:shd w:val="clear" w:color="auto" w:fill="auto"/>
          </w:tcPr>
          <w:p w:rsidR="002C1A0C" w:rsidRDefault="00864859">
            <w:pPr>
              <w:pStyle w:val="a5"/>
              <w:rPr>
                <w:sz w:val="21"/>
              </w:rPr>
            </w:pPr>
            <w:r>
              <w:rPr>
                <w:rFonts w:hint="eastAsia"/>
                <w:sz w:val="21"/>
              </w:rPr>
              <w:t xml:space="preserve">注册地址： </w:t>
            </w:r>
          </w:p>
        </w:tc>
        <w:tc>
          <w:tcPr>
            <w:tcW w:w="7440" w:type="dxa"/>
            <w:shd w:val="clear" w:color="auto" w:fill="auto"/>
          </w:tcPr>
          <w:p w:rsidR="002C1A0C" w:rsidRDefault="00864859">
            <w:pPr>
              <w:pStyle w:val="a5"/>
              <w:rPr>
                <w:sz w:val="21"/>
              </w:rPr>
            </w:pPr>
            <w:r>
              <w:rPr>
                <w:rFonts w:hint="eastAsia"/>
                <w:sz w:val="21"/>
              </w:rPr>
              <w:t xml:space="preserve">湖南省长沙市天心区芙蓉南路一段828号鑫远-杰座大厦 </w:t>
            </w:r>
          </w:p>
        </w:tc>
      </w:tr>
      <w:tr w:rsidR="002C1A0C">
        <w:tc>
          <w:tcPr>
            <w:tcW w:w="3000" w:type="dxa"/>
            <w:shd w:val="clear" w:color="auto" w:fill="auto"/>
          </w:tcPr>
          <w:p w:rsidR="002C1A0C" w:rsidRDefault="00864859">
            <w:pPr>
              <w:pStyle w:val="a5"/>
              <w:rPr>
                <w:sz w:val="21"/>
              </w:rPr>
            </w:pPr>
            <w:r>
              <w:rPr>
                <w:rFonts w:hint="eastAsia"/>
                <w:sz w:val="21"/>
              </w:rPr>
              <w:t xml:space="preserve">办公地址： </w:t>
            </w:r>
          </w:p>
        </w:tc>
        <w:tc>
          <w:tcPr>
            <w:tcW w:w="7440" w:type="dxa"/>
            <w:shd w:val="clear" w:color="auto" w:fill="auto"/>
          </w:tcPr>
          <w:p w:rsidR="002C1A0C" w:rsidRDefault="00864859">
            <w:pPr>
              <w:pStyle w:val="a5"/>
              <w:rPr>
                <w:sz w:val="21"/>
              </w:rPr>
            </w:pPr>
            <w:r>
              <w:rPr>
                <w:rFonts w:hint="eastAsia"/>
                <w:sz w:val="21"/>
              </w:rPr>
              <w:t xml:space="preserve">湖南省长沙市天心区芙蓉南路一段828号鑫远-杰座大厦 </w:t>
            </w:r>
          </w:p>
        </w:tc>
      </w:tr>
      <w:tr w:rsidR="002C1A0C">
        <w:tc>
          <w:tcPr>
            <w:tcW w:w="3000" w:type="dxa"/>
            <w:shd w:val="clear" w:color="auto" w:fill="auto"/>
          </w:tcPr>
          <w:p w:rsidR="002C1A0C" w:rsidRDefault="00864859">
            <w:pPr>
              <w:pStyle w:val="a5"/>
              <w:rPr>
                <w:sz w:val="21"/>
              </w:rPr>
            </w:pPr>
            <w:r>
              <w:rPr>
                <w:rFonts w:hint="eastAsia"/>
                <w:sz w:val="21"/>
              </w:rPr>
              <w:t xml:space="preserve">法定代表人： </w:t>
            </w:r>
          </w:p>
        </w:tc>
        <w:tc>
          <w:tcPr>
            <w:tcW w:w="7440" w:type="dxa"/>
            <w:shd w:val="clear" w:color="auto" w:fill="auto"/>
          </w:tcPr>
          <w:p w:rsidR="002C1A0C" w:rsidRDefault="00864859">
            <w:pPr>
              <w:pStyle w:val="a5"/>
              <w:rPr>
                <w:sz w:val="21"/>
              </w:rPr>
            </w:pPr>
            <w:r>
              <w:rPr>
                <w:rFonts w:hint="eastAsia"/>
                <w:sz w:val="21"/>
              </w:rPr>
              <w:t xml:space="preserve">刘永生 </w:t>
            </w:r>
          </w:p>
        </w:tc>
      </w:tr>
      <w:tr w:rsidR="002C1A0C">
        <w:tc>
          <w:tcPr>
            <w:tcW w:w="3000" w:type="dxa"/>
            <w:shd w:val="clear" w:color="auto" w:fill="auto"/>
          </w:tcPr>
          <w:p w:rsidR="002C1A0C" w:rsidRDefault="00864859">
            <w:pPr>
              <w:pStyle w:val="a5"/>
              <w:rPr>
                <w:sz w:val="21"/>
              </w:rPr>
            </w:pPr>
            <w:r>
              <w:rPr>
                <w:rFonts w:hint="eastAsia"/>
                <w:sz w:val="21"/>
              </w:rPr>
              <w:t xml:space="preserve">联系人： </w:t>
            </w:r>
          </w:p>
        </w:tc>
        <w:tc>
          <w:tcPr>
            <w:tcW w:w="7440" w:type="dxa"/>
            <w:shd w:val="clear" w:color="auto" w:fill="auto"/>
          </w:tcPr>
          <w:p w:rsidR="002C1A0C" w:rsidRDefault="00864859">
            <w:pPr>
              <w:pStyle w:val="a5"/>
              <w:rPr>
                <w:sz w:val="21"/>
              </w:rPr>
            </w:pPr>
            <w:r>
              <w:rPr>
                <w:rFonts w:hint="eastAsia"/>
                <w:sz w:val="21"/>
              </w:rPr>
              <w:t xml:space="preserve">张鹏君 </w:t>
            </w:r>
          </w:p>
        </w:tc>
      </w:tr>
      <w:tr w:rsidR="002C1A0C">
        <w:tc>
          <w:tcPr>
            <w:tcW w:w="3000" w:type="dxa"/>
            <w:shd w:val="clear" w:color="auto" w:fill="auto"/>
          </w:tcPr>
          <w:p w:rsidR="002C1A0C" w:rsidRDefault="00864859">
            <w:pPr>
              <w:pStyle w:val="a5"/>
              <w:rPr>
                <w:sz w:val="21"/>
              </w:rPr>
            </w:pPr>
            <w:r>
              <w:rPr>
                <w:rFonts w:hint="eastAsia"/>
                <w:sz w:val="21"/>
              </w:rPr>
              <w:t xml:space="preserve">电话： </w:t>
            </w:r>
          </w:p>
        </w:tc>
        <w:tc>
          <w:tcPr>
            <w:tcW w:w="7440" w:type="dxa"/>
            <w:shd w:val="clear" w:color="auto" w:fill="auto"/>
          </w:tcPr>
          <w:p w:rsidR="002C1A0C" w:rsidRDefault="00864859">
            <w:pPr>
              <w:pStyle w:val="a5"/>
              <w:rPr>
                <w:sz w:val="21"/>
              </w:rPr>
            </w:pPr>
            <w:r>
              <w:rPr>
                <w:rFonts w:hint="eastAsia"/>
                <w:sz w:val="21"/>
              </w:rPr>
              <w:t xml:space="preserve">0731-96599 </w:t>
            </w:r>
          </w:p>
        </w:tc>
      </w:tr>
      <w:tr w:rsidR="002C1A0C">
        <w:tc>
          <w:tcPr>
            <w:tcW w:w="3000" w:type="dxa"/>
            <w:shd w:val="clear" w:color="auto" w:fill="auto"/>
          </w:tcPr>
          <w:p w:rsidR="002C1A0C" w:rsidRDefault="00864859">
            <w:pPr>
              <w:pStyle w:val="a5"/>
              <w:rPr>
                <w:sz w:val="21"/>
              </w:rPr>
            </w:pPr>
            <w:r>
              <w:rPr>
                <w:rFonts w:hint="eastAsia"/>
                <w:sz w:val="21"/>
              </w:rPr>
              <w:t xml:space="preserve">传真： </w:t>
            </w:r>
          </w:p>
        </w:tc>
        <w:tc>
          <w:tcPr>
            <w:tcW w:w="7440" w:type="dxa"/>
            <w:shd w:val="clear" w:color="auto" w:fill="auto"/>
          </w:tcPr>
          <w:p w:rsidR="002C1A0C" w:rsidRDefault="00864859">
            <w:pPr>
              <w:pStyle w:val="a5"/>
              <w:rPr>
                <w:sz w:val="21"/>
              </w:rPr>
            </w:pPr>
            <w:r>
              <w:rPr>
                <w:rFonts w:hint="eastAsia"/>
                <w:sz w:val="21"/>
              </w:rPr>
              <w:t xml:space="preserve">0731-89828806 </w:t>
            </w:r>
          </w:p>
        </w:tc>
      </w:tr>
      <w:tr w:rsidR="002C1A0C">
        <w:tc>
          <w:tcPr>
            <w:tcW w:w="3000" w:type="dxa"/>
            <w:shd w:val="clear" w:color="auto" w:fill="auto"/>
          </w:tcPr>
          <w:p w:rsidR="002C1A0C" w:rsidRDefault="00864859">
            <w:pPr>
              <w:pStyle w:val="a5"/>
              <w:rPr>
                <w:sz w:val="21"/>
              </w:rPr>
            </w:pPr>
            <w:r>
              <w:rPr>
                <w:rFonts w:hint="eastAsia"/>
                <w:sz w:val="21"/>
              </w:rPr>
              <w:t xml:space="preserve">客户服务电话： </w:t>
            </w:r>
          </w:p>
        </w:tc>
        <w:tc>
          <w:tcPr>
            <w:tcW w:w="7440" w:type="dxa"/>
            <w:shd w:val="clear" w:color="auto" w:fill="auto"/>
          </w:tcPr>
          <w:p w:rsidR="002C1A0C" w:rsidRDefault="00864859">
            <w:pPr>
              <w:pStyle w:val="a5"/>
              <w:rPr>
                <w:sz w:val="21"/>
              </w:rPr>
            </w:pPr>
            <w:r>
              <w:rPr>
                <w:rFonts w:hint="eastAsia"/>
                <w:sz w:val="21"/>
              </w:rPr>
              <w:t xml:space="preserve">0731-96599 </w:t>
            </w:r>
          </w:p>
        </w:tc>
      </w:tr>
      <w:tr w:rsidR="002C1A0C">
        <w:tc>
          <w:tcPr>
            <w:tcW w:w="3000" w:type="dxa"/>
            <w:shd w:val="clear" w:color="auto" w:fill="auto"/>
          </w:tcPr>
          <w:p w:rsidR="002C1A0C" w:rsidRDefault="00864859">
            <w:pPr>
              <w:pStyle w:val="a5"/>
              <w:rPr>
                <w:sz w:val="21"/>
              </w:rPr>
            </w:pPr>
            <w:r>
              <w:rPr>
                <w:rFonts w:hint="eastAsia"/>
                <w:sz w:val="21"/>
              </w:rPr>
              <w:t xml:space="preserve">网址： </w:t>
            </w:r>
          </w:p>
        </w:tc>
        <w:tc>
          <w:tcPr>
            <w:tcW w:w="7440" w:type="dxa"/>
            <w:shd w:val="clear" w:color="auto" w:fill="auto"/>
          </w:tcPr>
          <w:p w:rsidR="002C1A0C" w:rsidRDefault="00864859">
            <w:pPr>
              <w:pStyle w:val="a5"/>
              <w:rPr>
                <w:sz w:val="21"/>
              </w:rPr>
            </w:pPr>
            <w:r>
              <w:rPr>
                <w:rFonts w:hint="eastAsia"/>
                <w:sz w:val="21"/>
              </w:rPr>
              <w:t xml:space="preserve">www.hrxjbank.com.cn </w:t>
            </w:r>
          </w:p>
        </w:tc>
      </w:tr>
    </w:tbl>
    <w:p w:rsidR="002C1A0C" w:rsidRDefault="002C1A0C">
      <w:pPr>
        <w:rPr>
          <w:rFonts w:ascii="宋体" w:eastAsia="宋体" w:hAnsi="宋体"/>
          <w:szCs w:val="24"/>
        </w:rPr>
      </w:pPr>
      <w:bookmarkStart w:id="68" w:name="chapter_level1_7_56_section_2_end"/>
      <w:bookmarkStart w:id="69" w:name="field_0_allproxysaletables_1_end"/>
      <w:bookmarkEnd w:id="68"/>
      <w:bookmarkEnd w:id="69"/>
    </w:p>
    <w:p w:rsidR="002C1A0C" w:rsidRDefault="00864859">
      <w:pPr>
        <w:pStyle w:val="a5"/>
        <w:spacing w:before="0" w:beforeAutospacing="0" w:after="0" w:afterAutospacing="0" w:line="360" w:lineRule="auto"/>
        <w:ind w:firstLine="420"/>
        <w:rPr>
          <w:sz w:val="21"/>
          <w:szCs w:val="21"/>
        </w:rPr>
      </w:pPr>
      <w:bookmarkStart w:id="70" w:name="chapter_level1_7_56_section_3"/>
      <w:bookmarkEnd w:id="70"/>
      <w:r>
        <w:rPr>
          <w:rStyle w:val="a7"/>
          <w:rFonts w:hint="eastAsia"/>
          <w:sz w:val="21"/>
          <w:szCs w:val="21"/>
        </w:rPr>
        <w:t>二、登记机构</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71" w:name="field_0_registercompanyinfo_1_start"/>
      <w:bookmarkEnd w:id="71"/>
      <w:r>
        <w:rPr>
          <w:rFonts w:hint="eastAsia"/>
          <w:sz w:val="21"/>
          <w:szCs w:val="21"/>
        </w:rPr>
        <w:t xml:space="preserve">名称：博时基金管理有限公司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住所：深圳市福田区莲花街道福新社区益田路5999号基金大厦21层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办公地址：北京市建国门内大街18号恒基中心1座23层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法定代表人：张光华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电话：（010）65171166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传真：（010）65187068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联系人：许鹏 </w:t>
      </w:r>
      <w:bookmarkStart w:id="72" w:name="field_0_registercompanyinfo_1_end"/>
      <w:bookmarkEnd w:id="72"/>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三、出具法律意见书的律师事务所</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名称：上海市通力律师事务所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注册地址：上海市银城中路68号时代金融中心19楼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办公地址：上海市银城中路68号时代金融中心19楼 </w:t>
      </w:r>
    </w:p>
    <w:p w:rsidR="002C1A0C" w:rsidRDefault="00864859">
      <w:pPr>
        <w:pStyle w:val="a5"/>
        <w:spacing w:before="0" w:beforeAutospacing="0" w:after="0" w:afterAutospacing="0" w:line="360" w:lineRule="auto"/>
        <w:ind w:firstLine="420"/>
        <w:rPr>
          <w:sz w:val="21"/>
          <w:szCs w:val="21"/>
        </w:rPr>
      </w:pPr>
      <w:r>
        <w:rPr>
          <w:rFonts w:hint="eastAsia"/>
          <w:sz w:val="21"/>
          <w:szCs w:val="21"/>
        </w:rPr>
        <w:t>电话：</w:t>
      </w:r>
      <w:r>
        <w:rPr>
          <w:sz w:val="21"/>
          <w:szCs w:val="21"/>
        </w:rPr>
        <w:t xml:space="preserve"> </w:t>
      </w:r>
      <w:r>
        <w:rPr>
          <w:rFonts w:hint="eastAsia"/>
          <w:sz w:val="21"/>
          <w:szCs w:val="21"/>
        </w:rPr>
        <w:t>021-</w:t>
      </w:r>
      <w:r>
        <w:rPr>
          <w:sz w:val="21"/>
          <w:szCs w:val="21"/>
        </w:rPr>
        <w:t xml:space="preserve"> </w:t>
      </w:r>
      <w:r>
        <w:rPr>
          <w:rFonts w:hint="eastAsia"/>
          <w:sz w:val="21"/>
          <w:szCs w:val="21"/>
        </w:rPr>
        <w:t xml:space="preserve">31358666 </w:t>
      </w:r>
    </w:p>
    <w:p w:rsidR="002C1A0C" w:rsidRDefault="00864859">
      <w:pPr>
        <w:pStyle w:val="a5"/>
        <w:spacing w:before="0" w:beforeAutospacing="0" w:after="0" w:afterAutospacing="0" w:line="360" w:lineRule="auto"/>
        <w:ind w:firstLine="420"/>
        <w:rPr>
          <w:sz w:val="21"/>
          <w:szCs w:val="21"/>
        </w:rPr>
      </w:pPr>
      <w:r>
        <w:rPr>
          <w:rFonts w:hint="eastAsia"/>
          <w:sz w:val="21"/>
          <w:szCs w:val="21"/>
        </w:rPr>
        <w:t>传真：</w:t>
      </w:r>
      <w:r>
        <w:rPr>
          <w:sz w:val="21"/>
          <w:szCs w:val="21"/>
        </w:rPr>
        <w:t xml:space="preserve"> </w:t>
      </w:r>
      <w:r>
        <w:rPr>
          <w:rFonts w:hint="eastAsia"/>
          <w:sz w:val="21"/>
          <w:szCs w:val="21"/>
        </w:rPr>
        <w:t>021-</w:t>
      </w:r>
      <w:r>
        <w:rPr>
          <w:sz w:val="21"/>
          <w:szCs w:val="21"/>
        </w:rPr>
        <w:t xml:space="preserve"> </w:t>
      </w:r>
      <w:r>
        <w:rPr>
          <w:rFonts w:hint="eastAsia"/>
          <w:sz w:val="21"/>
          <w:szCs w:val="21"/>
        </w:rPr>
        <w:t xml:space="preserve">31358600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负责人：俞卫锋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联系人：陆奇 </w:t>
      </w:r>
    </w:p>
    <w:p w:rsidR="002C1A0C" w:rsidRDefault="00864859">
      <w:pPr>
        <w:pStyle w:val="a5"/>
        <w:spacing w:before="0" w:beforeAutospacing="0" w:after="0" w:afterAutospacing="0" w:line="360" w:lineRule="auto"/>
        <w:ind w:firstLine="420"/>
        <w:rPr>
          <w:sz w:val="21"/>
          <w:szCs w:val="21"/>
        </w:rPr>
      </w:pPr>
      <w:r>
        <w:rPr>
          <w:rFonts w:hint="eastAsia"/>
          <w:sz w:val="21"/>
          <w:szCs w:val="21"/>
        </w:rPr>
        <w:t>经办律师：安冬、陆奇</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四、审计基金财产的会计师事务所</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73" w:name="field_0_accountingcompanyinfo_1_start"/>
      <w:bookmarkEnd w:id="73"/>
      <w:r>
        <w:rPr>
          <w:rFonts w:hint="eastAsia"/>
          <w:sz w:val="21"/>
          <w:szCs w:val="21"/>
        </w:rPr>
        <w:t>名称：普华永道中天会计师事务所(特殊普通合伙）</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住所：中国（上海）自由贸易试验区陆家嘴环路1318号星展银行大厦507单元01室</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办公地址：上海市湖滨路202号普华永道中心11楼</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执行事务合伙人：李丹</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联系电话：（021）23238888</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传真：（021）23238800</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联系人：沈兆杰</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74" w:name="chapter_level1_7_56_section_3_end"/>
      <w:bookmarkEnd w:id="74"/>
      <w:r>
        <w:rPr>
          <w:rFonts w:hint="eastAsia"/>
          <w:sz w:val="21"/>
          <w:szCs w:val="21"/>
        </w:rPr>
        <w:t>经办注册会计师：张振波、沈兆杰</w:t>
      </w:r>
      <w:r>
        <w:rPr>
          <w:sz w:val="21"/>
          <w:szCs w:val="21"/>
        </w:rPr>
        <w:t xml:space="preserve"> </w:t>
      </w:r>
      <w:r>
        <w:rPr>
          <w:rFonts w:hint="eastAsia"/>
          <w:sz w:val="21"/>
          <w:szCs w:val="21"/>
        </w:rPr>
        <w:t xml:space="preserve"> </w:t>
      </w:r>
      <w:bookmarkStart w:id="75" w:name="field_0_accountingcompanyinfo_1_end"/>
      <w:bookmarkEnd w:id="75"/>
      <w:r>
        <w:rPr>
          <w:sz w:val="21"/>
          <w:szCs w:val="21"/>
        </w:rPr>
        <w:t xml:space="preserve"> </w:t>
      </w:r>
      <w:r>
        <w:rPr>
          <w:rFonts w:hint="eastAsia"/>
          <w:sz w:val="21"/>
          <w:szCs w:val="21"/>
        </w:rPr>
        <w:t xml:space="preserve">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76" w:name="chapter_level1_9_58"/>
      <w:bookmarkStart w:id="77" w:name="_Toc27511768"/>
      <w:r>
        <w:rPr>
          <w:rFonts w:ascii="宋体" w:eastAsia="宋体" w:hAnsi="宋体" w:hint="eastAsia"/>
          <w:sz w:val="30"/>
        </w:rPr>
        <w:lastRenderedPageBreak/>
        <w:t>第六部分 基金的募集与基金合同的生效</w:t>
      </w:r>
      <w:bookmarkEnd w:id="76"/>
      <w:bookmarkEnd w:id="77"/>
    </w:p>
    <w:p w:rsidR="002C1A0C" w:rsidRDefault="00864859">
      <w:pPr>
        <w:pStyle w:val="a5"/>
        <w:spacing w:before="0" w:beforeAutospacing="0" w:after="0" w:afterAutospacing="0" w:line="360" w:lineRule="auto"/>
        <w:ind w:firstLine="420"/>
        <w:rPr>
          <w:sz w:val="21"/>
          <w:szCs w:val="21"/>
        </w:rPr>
      </w:pPr>
      <w:bookmarkStart w:id="78" w:name="chapter_level1_9_58_section_1"/>
      <w:bookmarkEnd w:id="78"/>
      <w:r>
        <w:rPr>
          <w:rFonts w:hint="eastAsia"/>
          <w:b/>
          <w:bCs/>
          <w:sz w:val="21"/>
          <w:szCs w:val="21"/>
        </w:rPr>
        <w:t>一．基金的募集</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基金管理人按照《基金法》、《运作办法》、《销售办法》、基金合同及其他有关规定募集本基金，并经中国证监会</w:t>
      </w:r>
      <w:bookmarkStart w:id="79" w:name="field_2343_approveddate_2"/>
      <w:r>
        <w:rPr>
          <w:sz w:val="21"/>
          <w:szCs w:val="21"/>
        </w:rPr>
        <w:t>2018年03月08日</w:t>
      </w:r>
      <w:bookmarkEnd w:id="79"/>
      <w:r>
        <w:rPr>
          <w:rFonts w:hint="eastAsia"/>
          <w:sz w:val="21"/>
          <w:szCs w:val="21"/>
        </w:rPr>
        <w:t>证监许可</w:t>
      </w:r>
      <w:bookmarkStart w:id="80" w:name="field_2343_lotnumber_2"/>
      <w:r>
        <w:rPr>
          <w:sz w:val="21"/>
          <w:szCs w:val="21"/>
        </w:rPr>
        <w:t>[2018]413</w:t>
      </w:r>
      <w:bookmarkEnd w:id="80"/>
      <w:r>
        <w:rPr>
          <w:rFonts w:hint="eastAsia"/>
          <w:sz w:val="21"/>
          <w:szCs w:val="21"/>
        </w:rPr>
        <w:t xml:space="preserve">号文准予募集注册。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本基金募集期自</w:t>
      </w:r>
      <w:bookmarkStart w:id="81" w:name="field_58_raisebegindate_1"/>
      <w:r>
        <w:rPr>
          <w:sz w:val="21"/>
          <w:szCs w:val="21"/>
        </w:rPr>
        <w:t>2018年07月23日</w:t>
      </w:r>
      <w:bookmarkEnd w:id="81"/>
      <w:r>
        <w:rPr>
          <w:rFonts w:hint="eastAsia"/>
          <w:sz w:val="21"/>
          <w:szCs w:val="21"/>
        </w:rPr>
        <w:t>至</w:t>
      </w:r>
      <w:bookmarkStart w:id="82" w:name="field_58_raiseenddate_1"/>
      <w:r>
        <w:rPr>
          <w:sz w:val="21"/>
          <w:szCs w:val="21"/>
        </w:rPr>
        <w:t>2018年08月20日</w:t>
      </w:r>
      <w:bookmarkEnd w:id="82"/>
      <w:r>
        <w:rPr>
          <w:rFonts w:hint="eastAsia"/>
          <w:sz w:val="21"/>
          <w:szCs w:val="21"/>
        </w:rPr>
        <w:t>期间，基金份额共募集</w:t>
      </w:r>
      <w:bookmarkStart w:id="83" w:name="field_58_raisetotal_1"/>
      <w:r>
        <w:rPr>
          <w:sz w:val="21"/>
          <w:szCs w:val="21"/>
        </w:rPr>
        <w:t>236,286,210.85</w:t>
      </w:r>
      <w:bookmarkEnd w:id="83"/>
      <w:r>
        <w:rPr>
          <w:sz w:val="21"/>
          <w:szCs w:val="21"/>
        </w:rPr>
        <w:t xml:space="preserve"> </w:t>
      </w:r>
      <w:r>
        <w:rPr>
          <w:rFonts w:hint="eastAsia"/>
          <w:sz w:val="21"/>
          <w:szCs w:val="21"/>
        </w:rPr>
        <w:t>份（含利息结转的份额），募集有效认购总户数为</w:t>
      </w:r>
      <w:bookmarkStart w:id="84" w:name="field_58_effectivetotal_1"/>
      <w:r>
        <w:rPr>
          <w:sz w:val="21"/>
          <w:szCs w:val="21"/>
        </w:rPr>
        <w:t>5,039</w:t>
      </w:r>
      <w:bookmarkEnd w:id="84"/>
      <w:r>
        <w:rPr>
          <w:rFonts w:hint="eastAsia"/>
          <w:sz w:val="21"/>
          <w:szCs w:val="21"/>
        </w:rPr>
        <w:t xml:space="preserve">户。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本基金的运作方式为</w:t>
      </w:r>
      <w:bookmarkStart w:id="85" w:name="field_58_operation_1"/>
      <w:r>
        <w:rPr>
          <w:rFonts w:hint="eastAsia"/>
          <w:sz w:val="21"/>
          <w:szCs w:val="21"/>
        </w:rPr>
        <w:t>契约型定期开放式</w:t>
      </w:r>
      <w:bookmarkEnd w:id="85"/>
      <w:r>
        <w:rPr>
          <w:rFonts w:hint="eastAsia"/>
          <w:sz w:val="21"/>
          <w:szCs w:val="21"/>
        </w:rPr>
        <w:t>，存续期间为</w:t>
      </w:r>
      <w:bookmarkStart w:id="86" w:name="field_58_duration_1"/>
      <w:r>
        <w:rPr>
          <w:rFonts w:hint="eastAsia"/>
          <w:sz w:val="21"/>
          <w:szCs w:val="21"/>
        </w:rPr>
        <w:t>不定期</w:t>
      </w:r>
      <w:bookmarkEnd w:id="86"/>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b/>
          <w:bCs/>
          <w:sz w:val="21"/>
          <w:szCs w:val="21"/>
        </w:rPr>
        <w:t>二、基金合同的生效</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87" w:name="chapter_level1_9_58_section_1_end"/>
      <w:bookmarkEnd w:id="87"/>
      <w:r>
        <w:rPr>
          <w:rFonts w:hint="eastAsia"/>
          <w:sz w:val="21"/>
          <w:szCs w:val="21"/>
        </w:rPr>
        <w:t>本基金的基金合同已于</w:t>
      </w:r>
      <w:bookmarkStart w:id="88" w:name="field_58_foundday_1"/>
      <w:r>
        <w:rPr>
          <w:sz w:val="21"/>
          <w:szCs w:val="21"/>
        </w:rPr>
        <w:t>2018年08月23日</w:t>
      </w:r>
      <w:bookmarkEnd w:id="88"/>
      <w:r>
        <w:rPr>
          <w:rFonts w:hint="eastAsia"/>
          <w:sz w:val="21"/>
          <w:szCs w:val="21"/>
        </w:rPr>
        <w:t xml:space="preserve">正式生效。 </w:t>
      </w:r>
    </w:p>
    <w:p w:rsidR="002C1A0C" w:rsidRDefault="00864859">
      <w:pPr>
        <w:pStyle w:val="a5"/>
        <w:spacing w:before="0" w:beforeAutospacing="0" w:after="0" w:afterAutospacing="0" w:line="360" w:lineRule="auto"/>
        <w:ind w:firstLine="420"/>
        <w:rPr>
          <w:sz w:val="21"/>
          <w:szCs w:val="21"/>
        </w:rPr>
      </w:pPr>
      <w:bookmarkStart w:id="89" w:name="chapter_level1_9_58_section_2"/>
      <w:bookmarkEnd w:id="89"/>
      <w:r>
        <w:rPr>
          <w:rStyle w:val="a7"/>
          <w:rFonts w:hint="eastAsia"/>
          <w:sz w:val="21"/>
          <w:szCs w:val="21"/>
        </w:rPr>
        <w:t>三、基金存续期内的基金份额持有人数量和资产规模</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合同生效后，连续二十个工作日出现基金份额持有人数量不满二百人或者基金资产净值低于五千万元情形的，基金管理人应当在定期报告中予以披露；连续六十个工作日出现前述情形的，本基金将根据基金合同第十九部分的约定进行基金财产清算并终止基金合同，且无需召开基金份额持有人大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基金合同生效后，若在任一开放期结束日次日的本基金基金资产净值低于五千万元，本基金将根据基金合同的约定进行基金财产清算并终止基金合同，且无需召开基金份额持有人大会。 </w:t>
      </w:r>
    </w:p>
    <w:p w:rsidR="002C1A0C" w:rsidRDefault="00864859">
      <w:pPr>
        <w:pStyle w:val="a5"/>
        <w:spacing w:before="0" w:beforeAutospacing="0" w:after="0" w:afterAutospacing="0" w:line="360" w:lineRule="auto"/>
        <w:ind w:firstLine="420"/>
        <w:rPr>
          <w:sz w:val="21"/>
          <w:szCs w:val="21"/>
        </w:rPr>
      </w:pPr>
      <w:bookmarkStart w:id="90" w:name="chapter_level1_9_58_section_2_end"/>
      <w:bookmarkEnd w:id="90"/>
      <w:r>
        <w:rPr>
          <w:rFonts w:hint="eastAsia"/>
          <w:sz w:val="21"/>
          <w:szCs w:val="21"/>
        </w:rPr>
        <w:t xml:space="preserve">法律法规或监管机构另有规定时，从其规定。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91" w:name="_Toc27511769"/>
      <w:bookmarkStart w:id="92" w:name="chapter_level1_10_59"/>
      <w:r>
        <w:rPr>
          <w:rFonts w:ascii="宋体" w:eastAsia="宋体" w:hAnsi="宋体" w:hint="eastAsia"/>
          <w:sz w:val="30"/>
        </w:rPr>
        <w:lastRenderedPageBreak/>
        <w:t>第七部分  基金份额的申购与赎回</w:t>
      </w:r>
      <w:bookmarkEnd w:id="91"/>
      <w:bookmarkEnd w:id="92"/>
    </w:p>
    <w:p w:rsidR="002C1A0C" w:rsidRDefault="00864859">
      <w:pPr>
        <w:pStyle w:val="a5"/>
        <w:spacing w:before="0" w:beforeAutospacing="0" w:after="0" w:afterAutospacing="0" w:line="360" w:lineRule="auto"/>
        <w:ind w:firstLine="420"/>
        <w:rPr>
          <w:sz w:val="21"/>
          <w:szCs w:val="21"/>
        </w:rPr>
      </w:pPr>
      <w:bookmarkStart w:id="93" w:name="chapter_level1_10_59_section_1"/>
      <w:bookmarkEnd w:id="93"/>
      <w:r>
        <w:rPr>
          <w:rStyle w:val="a7"/>
          <w:rFonts w:hint="eastAsia"/>
          <w:sz w:val="21"/>
          <w:szCs w:val="21"/>
        </w:rPr>
        <w:t>一、申购与赎回的场所</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基金的申购与赎回将通过销售机构进行。具体的销售网点将由基金管理人在相关公告中列明。基金管理人可根据情况变更或增减销售机构，并在基金管理人网站公示。基金投资者应当在销售机构办理基金销售业务的营业场所或按销售机构提供的其他方式办理基金份额的申购与赎</w:t>
      </w:r>
      <w:bookmarkStart w:id="94" w:name="chapter_level1_10_59_section_1_end"/>
      <w:bookmarkEnd w:id="94"/>
      <w:r>
        <w:rPr>
          <w:rFonts w:hint="eastAsia"/>
          <w:sz w:val="21"/>
          <w:szCs w:val="21"/>
        </w:rPr>
        <w:t xml:space="preserve">回。 </w:t>
      </w:r>
    </w:p>
    <w:p w:rsidR="002C1A0C" w:rsidRDefault="00864859">
      <w:pPr>
        <w:pStyle w:val="a5"/>
        <w:spacing w:before="0" w:beforeAutospacing="0" w:after="0" w:afterAutospacing="0" w:line="360" w:lineRule="auto"/>
        <w:ind w:firstLine="420"/>
        <w:rPr>
          <w:sz w:val="21"/>
          <w:szCs w:val="21"/>
        </w:rPr>
      </w:pPr>
      <w:bookmarkStart w:id="95" w:name="chapter_level1_10_59_section_2"/>
      <w:bookmarkEnd w:id="95"/>
      <w:r>
        <w:rPr>
          <w:rStyle w:val="a7"/>
          <w:rFonts w:hint="eastAsia"/>
          <w:sz w:val="21"/>
          <w:szCs w:val="21"/>
        </w:rPr>
        <w:t>二、申购与赎回办理的开放期及时间</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1、封闭期、开放期及开放时间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合同生效后，在开放期内，投资人在开放日办理基金份额的申购和赎回，具体办理时间为上海证券交易所、深圳证券交易所的正常交易日的交易时间，若本基金参与港股通交易且该工作日为非港股通交易日时，则基金管理人可根据实际情况决定本基金是否开放申购、赎回及转换业务，具体以届时提前发布的公告为准。但基金管理人根据法律法规、中国证监会的要求或基金合同的规定公告暂停申购、赎回时除外。在封闭期内，本基金不办理申购、赎回业务，也不上市交易。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2、开放期及业务办理时间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除法律法规或《基金合同》另有约定外，每一个封闭期结束后，本基金即进入开放期，开放期的期限为自封闭期结束之日后第一个工作日起（含该日）五至二十个工作日，具体期间由基金管理人在封闭期结束前公告说明。开放期以及开放期办理申购与赎回业务的具体事宜见《招募说明书》及基金管理人届时发布的相关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如在开放期内发生不可抗力或其他情形致使基金无法按时开放或需依据《基金合同》暂停申购与赎回业务的，在不可抗力或其他情形影响因素消除之日下一个工作日起，继续计算该开放期时间，基金管理人有权合理调整申购或赎回业务的办理期间并予以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在开放期内，基金管理人不得在基金合同约定之外的日期或者时间办理基金份额的申购、赎回或者转换。投资人在基金合同约定之外的日期和时间提出申购、赎回或转换申请且登记机构确认接受的，其基金份额申购、赎回价格为该开放期下一开放日该类基金份额申购、赎</w:t>
      </w:r>
      <w:r>
        <w:rPr>
          <w:rFonts w:hint="eastAsia"/>
          <w:sz w:val="21"/>
          <w:szCs w:val="21"/>
        </w:rPr>
        <w:lastRenderedPageBreak/>
        <w:t>回的价格；但若投资人在开放期最后一日业务办理时间结束之后提出申购、赎回或者转换申</w:t>
      </w:r>
      <w:bookmarkStart w:id="96" w:name="chapter_level1_10_59_section_2_end"/>
      <w:bookmarkEnd w:id="96"/>
      <w:r>
        <w:rPr>
          <w:rFonts w:hint="eastAsia"/>
          <w:sz w:val="21"/>
          <w:szCs w:val="21"/>
        </w:rPr>
        <w:t xml:space="preserve">请的，视为无效申请。 </w:t>
      </w:r>
    </w:p>
    <w:p w:rsidR="002C1A0C" w:rsidRDefault="00864859">
      <w:pPr>
        <w:pStyle w:val="a5"/>
        <w:spacing w:before="0" w:beforeAutospacing="0" w:after="0" w:afterAutospacing="0" w:line="360" w:lineRule="auto"/>
        <w:ind w:firstLine="420"/>
        <w:rPr>
          <w:sz w:val="21"/>
          <w:szCs w:val="21"/>
        </w:rPr>
      </w:pPr>
      <w:bookmarkStart w:id="97" w:name="chapter_level1_10_59_section_3"/>
      <w:bookmarkEnd w:id="97"/>
      <w:r>
        <w:rPr>
          <w:rFonts w:hint="eastAsia"/>
          <w:b/>
          <w:bCs/>
          <w:sz w:val="21"/>
          <w:szCs w:val="21"/>
        </w:rPr>
        <w:t>三、申购与赎回的数额限制</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1、投资人首次申购本基金A类基金份额或C类基金份额的最低金额为</w:t>
      </w:r>
      <w:bookmarkStart w:id="98" w:name="field_59_dealerfirstpurminamount_1"/>
      <w:r>
        <w:rPr>
          <w:sz w:val="21"/>
          <w:szCs w:val="21"/>
        </w:rPr>
        <w:t>10.00</w:t>
      </w:r>
      <w:bookmarkEnd w:id="98"/>
      <w:r>
        <w:rPr>
          <w:rFonts w:hint="eastAsia"/>
          <w:sz w:val="21"/>
          <w:szCs w:val="21"/>
        </w:rPr>
        <w:t>元（含申购费），追加申购最低金额为</w:t>
      </w:r>
      <w:bookmarkStart w:id="99" w:name="field_59_dealerlaterpurminamount_1"/>
      <w:r>
        <w:rPr>
          <w:sz w:val="21"/>
          <w:szCs w:val="21"/>
        </w:rPr>
        <w:t>10.00</w:t>
      </w:r>
      <w:bookmarkEnd w:id="99"/>
      <w:r>
        <w:rPr>
          <w:rFonts w:hint="eastAsia"/>
          <w:sz w:val="21"/>
          <w:szCs w:val="21"/>
        </w:rPr>
        <w:t xml:space="preserve">元（含申购费）；详情请见当地销售机构公告；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2、每个交易账户最低持有基金份额余额为</w:t>
      </w:r>
      <w:bookmarkStart w:id="100" w:name="field_59_minholdshare_1"/>
      <w:r>
        <w:rPr>
          <w:sz w:val="21"/>
          <w:szCs w:val="21"/>
        </w:rPr>
        <w:t>10</w:t>
      </w:r>
      <w:bookmarkEnd w:id="100"/>
      <w:r>
        <w:rPr>
          <w:rFonts w:hint="eastAsia"/>
          <w:sz w:val="21"/>
          <w:szCs w:val="21"/>
        </w:rPr>
        <w:t>份，若某笔赎回导致单个交易账户的某一类别基金份额余额少于</w:t>
      </w:r>
      <w:bookmarkStart w:id="101" w:name="field_59_minholdshare_2"/>
      <w:r>
        <w:rPr>
          <w:sz w:val="21"/>
          <w:szCs w:val="21"/>
        </w:rPr>
        <w:t>10</w:t>
      </w:r>
      <w:bookmarkEnd w:id="101"/>
      <w:r>
        <w:rPr>
          <w:rFonts w:hint="eastAsia"/>
          <w:sz w:val="21"/>
          <w:szCs w:val="21"/>
        </w:rPr>
        <w:t xml:space="preserve">份时，该类份额余额部分基金份额必须一同赎回； </w:t>
      </w:r>
    </w:p>
    <w:p w:rsidR="002C1A0C" w:rsidRDefault="00864859">
      <w:pPr>
        <w:pStyle w:val="a5"/>
        <w:spacing w:before="0" w:beforeAutospacing="0" w:after="0" w:afterAutospacing="0" w:line="360" w:lineRule="auto"/>
        <w:ind w:firstLine="420"/>
        <w:rPr>
          <w:sz w:val="21"/>
          <w:szCs w:val="21"/>
        </w:rPr>
      </w:pPr>
      <w:r>
        <w:rPr>
          <w:rFonts w:hint="eastAsia"/>
          <w:sz w:val="21"/>
          <w:szCs w:val="21"/>
        </w:rPr>
        <w:t>3、投资人通过销售机构赎回基金份额时，本基金单笔某一类份额赎回申请不得低于</w:t>
      </w:r>
      <w:bookmarkStart w:id="102" w:name="field_59_minholdshare_3"/>
      <w:r>
        <w:rPr>
          <w:sz w:val="21"/>
          <w:szCs w:val="21"/>
        </w:rPr>
        <w:t>10</w:t>
      </w:r>
      <w:bookmarkEnd w:id="102"/>
      <w:r>
        <w:rPr>
          <w:rFonts w:hint="eastAsia"/>
          <w:sz w:val="21"/>
          <w:szCs w:val="21"/>
        </w:rPr>
        <w:t>份，若投资者单个交易账户持有的某类基金份额余额不足</w:t>
      </w:r>
      <w:bookmarkStart w:id="103" w:name="field_59_minholdshare_4"/>
      <w:r>
        <w:rPr>
          <w:sz w:val="21"/>
          <w:szCs w:val="21"/>
        </w:rPr>
        <w:t>10</w:t>
      </w:r>
      <w:bookmarkEnd w:id="103"/>
      <w:r>
        <w:rPr>
          <w:rFonts w:hint="eastAsia"/>
          <w:sz w:val="21"/>
          <w:szCs w:val="21"/>
        </w:rPr>
        <w:t xml:space="preserve">份，将不受此限制，但投资者在提交赎回申请时须将该类份额全部赎回。各销售机构在符合上述规定的前提下，可根据自己的情况调整单笔赎回申请限制，具体以销售机构公布的为准，投资人需遵循销售机构的相关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4、本基金目前对单个投资人累计持有份额不设上限限制，基金管理人可以规定单个投资者累计持有的基金份额数量限制，具体规定见更新的招募说明书或相关公告；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基金管理人可在法律法规允许的情况下，调整上述规定申购金额和赎回份额等数量限制。基金管理人必须在调整实施前依照《信息披露办法》的有关规定在指定媒介上进行公告。 </w:t>
      </w:r>
    </w:p>
    <w:p w:rsidR="002C1A0C" w:rsidRDefault="00864859">
      <w:pPr>
        <w:pStyle w:val="a5"/>
        <w:spacing w:before="0" w:beforeAutospacing="0" w:after="0" w:afterAutospacing="0" w:line="360" w:lineRule="auto"/>
        <w:ind w:firstLine="420"/>
        <w:rPr>
          <w:sz w:val="21"/>
          <w:szCs w:val="21"/>
        </w:rPr>
      </w:pPr>
      <w:r>
        <w:rPr>
          <w:rFonts w:hint="eastAsia"/>
          <w:b/>
          <w:bCs/>
          <w:sz w:val="21"/>
          <w:szCs w:val="21"/>
        </w:rPr>
        <w:t>四、申购与赎回的原则</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1、“未知价”原则，即开放期内申购、赎回价格以申请当日收市后计算的基金份额净值为基准进行计算；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2、“金额申购、份额赎回”原则，即申购以金额申请，赎回以份额申请；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3、当日的申购与赎回申请可以在基金管理人规定的时间以内撤销；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4、赎回遵循“先进先出”原则，即按照投资人认购、申购的先后次序进行顺序赎回；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5、办理申购、赎回业务时，应当遵循基金份额持有人利益优先原则。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2C1A0C" w:rsidRDefault="00864859">
      <w:pPr>
        <w:pStyle w:val="a5"/>
        <w:spacing w:before="0" w:beforeAutospacing="0" w:after="0" w:afterAutospacing="0" w:line="360" w:lineRule="auto"/>
        <w:ind w:firstLine="420"/>
        <w:rPr>
          <w:sz w:val="21"/>
          <w:szCs w:val="21"/>
        </w:rPr>
      </w:pPr>
      <w:r>
        <w:rPr>
          <w:rFonts w:hint="eastAsia"/>
          <w:b/>
          <w:bCs/>
          <w:sz w:val="21"/>
          <w:szCs w:val="21"/>
        </w:rPr>
        <w:t>五、申购与赎回的程序</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1、申购和赎回的申请方式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投资人必须根据销售机构规定的程序，在开放期的开放日的具体业务办理时间内提出申购或赎回的申请。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2、申购和赎回的款项支付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投资人申购基金份额时，必须全额交付申购款项，投资人在规定时间内全额交付申购款项，申购申请成立；基金份额登记机构确认基金份额时，申购生效。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递交赎回申请，赎回成立；基金份额登记机构确认赎回时，赎回生效。投资人赎回申请生效后，基金管理人将在T＋7日(包括该日)内支付赎回款项。在发生巨额赎回或基金合同约定的延缓支付赎回款项的情形时，款项的支付办法参照基金合同有关条款处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遇交易所或交易市场数据传输延迟、通讯系统故障、银行数据交换系统故障或其他非基金管理人及基金托管人所能控制的因素影响业务处理流程，则赎回款项划付时间相应顺延。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3、申购和赎回申请的确认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退还给投资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基金销售机构对申购、赎回申请的受理并不代表申请一定成功，而仅代表销售机构确实接收到申请。申购、赎回申请的确认以登记机构的确认结果为准。对于申请的确认情况，投资者应及时查询。 </w:t>
      </w:r>
    </w:p>
    <w:p w:rsidR="002C1A0C" w:rsidRDefault="00864859">
      <w:pPr>
        <w:pStyle w:val="a5"/>
        <w:spacing w:before="0" w:beforeAutospacing="0" w:after="0" w:afterAutospacing="0" w:line="360" w:lineRule="auto"/>
        <w:ind w:firstLine="420"/>
        <w:rPr>
          <w:sz w:val="21"/>
          <w:szCs w:val="21"/>
        </w:rPr>
      </w:pPr>
      <w:r>
        <w:rPr>
          <w:rFonts w:hint="eastAsia"/>
          <w:b/>
          <w:bCs/>
          <w:sz w:val="21"/>
          <w:szCs w:val="21"/>
        </w:rPr>
        <w:t>六、申购费率、赎回费率</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本基金A类基金份额在申购时收取基金申购费用；C类基金份额不收取申购费用。本基金申购费用用于本基金的市场推广、销售、登记等募集期间发生的各项费用，不列入基金财产。本基金在申购时收取申购费用，并对通过直销中心申购本基金的养老金客户与除此之外的其他投资者实施差别的申购费率。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（1）对于通过基金管理人的直销中心申购本基金的养老金客户，各类基金份额的申购费率如下表所示： </w:t>
      </w:r>
    </w:p>
    <w:tbl>
      <w:tblPr>
        <w:tblStyle w:val="a6"/>
        <w:tblW w:w="7620" w:type="dxa"/>
        <w:jc w:val="center"/>
        <w:tblLook w:val="04A0" w:firstRow="1" w:lastRow="0" w:firstColumn="1" w:lastColumn="0" w:noHBand="0" w:noVBand="1"/>
      </w:tblPr>
      <w:tblGrid>
        <w:gridCol w:w="2880"/>
        <w:gridCol w:w="2475"/>
        <w:gridCol w:w="2265"/>
      </w:tblGrid>
      <w:tr w:rsidR="002C1A0C">
        <w:trPr>
          <w:jc w:val="center"/>
        </w:trPr>
        <w:tc>
          <w:tcPr>
            <w:tcW w:w="2880" w:type="dxa"/>
            <w:shd w:val="clear" w:color="auto" w:fill="auto"/>
          </w:tcPr>
          <w:p w:rsidR="002C1A0C" w:rsidRDefault="00864859">
            <w:pPr>
              <w:pStyle w:val="a5"/>
              <w:jc w:val="center"/>
              <w:rPr>
                <w:sz w:val="21"/>
              </w:rPr>
            </w:pPr>
            <w:r>
              <w:rPr>
                <w:rFonts w:hint="eastAsia"/>
                <w:sz w:val="21"/>
              </w:rPr>
              <w:t>申购金额（M）</w:t>
            </w:r>
            <w:r>
              <w:rPr>
                <w:sz w:val="21"/>
              </w:rPr>
              <w:t xml:space="preserve"> </w:t>
            </w:r>
            <w:r>
              <w:rPr>
                <w:rFonts w:hint="eastAsia"/>
                <w:sz w:val="21"/>
              </w:rPr>
              <w:t xml:space="preserve"> </w:t>
            </w:r>
          </w:p>
        </w:tc>
        <w:tc>
          <w:tcPr>
            <w:tcW w:w="2475" w:type="dxa"/>
            <w:shd w:val="clear" w:color="auto" w:fill="auto"/>
          </w:tcPr>
          <w:p w:rsidR="002C1A0C" w:rsidRDefault="00864859">
            <w:pPr>
              <w:pStyle w:val="a5"/>
              <w:jc w:val="center"/>
              <w:rPr>
                <w:sz w:val="21"/>
              </w:rPr>
            </w:pPr>
            <w:r>
              <w:rPr>
                <w:rFonts w:hint="eastAsia"/>
                <w:sz w:val="21"/>
              </w:rPr>
              <w:t>A类基金份额申购费率</w:t>
            </w:r>
            <w:r>
              <w:rPr>
                <w:sz w:val="21"/>
              </w:rPr>
              <w:t xml:space="preserve"> </w:t>
            </w:r>
            <w:r>
              <w:rPr>
                <w:rFonts w:hint="eastAsia"/>
                <w:sz w:val="21"/>
              </w:rPr>
              <w:t xml:space="preserve"> </w:t>
            </w:r>
          </w:p>
        </w:tc>
        <w:tc>
          <w:tcPr>
            <w:tcW w:w="2265" w:type="dxa"/>
            <w:shd w:val="clear" w:color="auto" w:fill="auto"/>
          </w:tcPr>
          <w:p w:rsidR="002C1A0C" w:rsidRDefault="00864859">
            <w:pPr>
              <w:pStyle w:val="a5"/>
              <w:jc w:val="center"/>
              <w:rPr>
                <w:sz w:val="21"/>
              </w:rPr>
            </w:pPr>
            <w:r>
              <w:rPr>
                <w:rFonts w:hint="eastAsia"/>
                <w:sz w:val="21"/>
              </w:rPr>
              <w:t>C类基金份额申购费率</w:t>
            </w:r>
            <w:r>
              <w:rPr>
                <w:sz w:val="21"/>
              </w:rPr>
              <w:t xml:space="preserve"> </w:t>
            </w:r>
            <w:r>
              <w:rPr>
                <w:rFonts w:hint="eastAsia"/>
                <w:sz w:val="21"/>
              </w:rPr>
              <w:t xml:space="preserve"> </w:t>
            </w:r>
          </w:p>
        </w:tc>
      </w:tr>
      <w:tr w:rsidR="002C1A0C">
        <w:trPr>
          <w:jc w:val="center"/>
        </w:trPr>
        <w:tc>
          <w:tcPr>
            <w:tcW w:w="2880" w:type="dxa"/>
            <w:shd w:val="clear" w:color="auto" w:fill="auto"/>
          </w:tcPr>
          <w:p w:rsidR="002C1A0C" w:rsidRDefault="00864859">
            <w:pPr>
              <w:pStyle w:val="a5"/>
              <w:jc w:val="center"/>
              <w:rPr>
                <w:sz w:val="21"/>
              </w:rPr>
            </w:pPr>
            <w:r>
              <w:rPr>
                <w:rFonts w:hint="eastAsia"/>
                <w:sz w:val="21"/>
              </w:rPr>
              <w:t>M＜50万元</w:t>
            </w:r>
            <w:r>
              <w:rPr>
                <w:sz w:val="21"/>
              </w:rPr>
              <w:t xml:space="preserve"> </w:t>
            </w:r>
            <w:r>
              <w:rPr>
                <w:rFonts w:hint="eastAsia"/>
                <w:sz w:val="21"/>
              </w:rPr>
              <w:t xml:space="preserve"> </w:t>
            </w:r>
          </w:p>
        </w:tc>
        <w:tc>
          <w:tcPr>
            <w:tcW w:w="2475" w:type="dxa"/>
            <w:shd w:val="clear" w:color="auto" w:fill="auto"/>
          </w:tcPr>
          <w:p w:rsidR="002C1A0C" w:rsidRDefault="00864859">
            <w:pPr>
              <w:pStyle w:val="a5"/>
              <w:jc w:val="center"/>
              <w:rPr>
                <w:sz w:val="21"/>
              </w:rPr>
            </w:pPr>
            <w:r>
              <w:rPr>
                <w:rFonts w:hint="eastAsia"/>
                <w:sz w:val="21"/>
              </w:rPr>
              <w:t>0.12%</w:t>
            </w:r>
            <w:r>
              <w:rPr>
                <w:sz w:val="21"/>
              </w:rPr>
              <w:t xml:space="preserve"> </w:t>
            </w:r>
            <w:r>
              <w:rPr>
                <w:rFonts w:hint="eastAsia"/>
                <w:sz w:val="21"/>
              </w:rPr>
              <w:t xml:space="preserve"> </w:t>
            </w:r>
          </w:p>
        </w:tc>
        <w:tc>
          <w:tcPr>
            <w:tcW w:w="2265" w:type="dxa"/>
            <w:vMerge w:val="restart"/>
            <w:shd w:val="clear" w:color="auto" w:fill="auto"/>
          </w:tcPr>
          <w:p w:rsidR="002C1A0C" w:rsidRDefault="00864859">
            <w:pPr>
              <w:pStyle w:val="a5"/>
              <w:jc w:val="center"/>
              <w:rPr>
                <w:sz w:val="21"/>
              </w:rPr>
            </w:pPr>
            <w:r>
              <w:rPr>
                <w:sz w:val="21"/>
              </w:rPr>
              <w:t xml:space="preserve"> </w:t>
            </w:r>
            <w:r>
              <w:rPr>
                <w:rFonts w:hint="eastAsia"/>
                <w:sz w:val="21"/>
              </w:rPr>
              <w:t xml:space="preserve"> </w:t>
            </w:r>
          </w:p>
          <w:p w:rsidR="002C1A0C" w:rsidRDefault="00864859">
            <w:pPr>
              <w:pStyle w:val="a5"/>
              <w:jc w:val="center"/>
              <w:rPr>
                <w:sz w:val="21"/>
              </w:rPr>
            </w:pPr>
            <w:r>
              <w:rPr>
                <w:rFonts w:hint="eastAsia"/>
                <w:sz w:val="21"/>
              </w:rPr>
              <w:t>0.00%</w:t>
            </w:r>
            <w:r>
              <w:rPr>
                <w:sz w:val="21"/>
              </w:rPr>
              <w:t xml:space="preserve"> </w:t>
            </w:r>
            <w:r>
              <w:rPr>
                <w:rFonts w:hint="eastAsia"/>
                <w:sz w:val="21"/>
              </w:rPr>
              <w:t xml:space="preserve"> </w:t>
            </w:r>
          </w:p>
        </w:tc>
      </w:tr>
      <w:tr w:rsidR="002C1A0C">
        <w:trPr>
          <w:jc w:val="center"/>
        </w:trPr>
        <w:tc>
          <w:tcPr>
            <w:tcW w:w="2880" w:type="dxa"/>
            <w:shd w:val="clear" w:color="auto" w:fill="auto"/>
          </w:tcPr>
          <w:p w:rsidR="002C1A0C" w:rsidRDefault="00864859">
            <w:pPr>
              <w:pStyle w:val="a5"/>
              <w:jc w:val="center"/>
              <w:rPr>
                <w:sz w:val="21"/>
              </w:rPr>
            </w:pPr>
            <w:r>
              <w:rPr>
                <w:rFonts w:hint="eastAsia"/>
                <w:sz w:val="21"/>
              </w:rPr>
              <w:t>50万元≤M＜100万元</w:t>
            </w:r>
            <w:r>
              <w:rPr>
                <w:sz w:val="21"/>
              </w:rPr>
              <w:t xml:space="preserve"> </w:t>
            </w:r>
            <w:r>
              <w:rPr>
                <w:rFonts w:hint="eastAsia"/>
                <w:sz w:val="21"/>
              </w:rPr>
              <w:t xml:space="preserve"> </w:t>
            </w:r>
          </w:p>
        </w:tc>
        <w:tc>
          <w:tcPr>
            <w:tcW w:w="2475" w:type="dxa"/>
            <w:shd w:val="clear" w:color="auto" w:fill="auto"/>
          </w:tcPr>
          <w:p w:rsidR="002C1A0C" w:rsidRDefault="00864859">
            <w:pPr>
              <w:pStyle w:val="a5"/>
              <w:jc w:val="center"/>
              <w:rPr>
                <w:sz w:val="21"/>
              </w:rPr>
            </w:pPr>
            <w:r>
              <w:rPr>
                <w:rFonts w:hint="eastAsia"/>
                <w:sz w:val="21"/>
              </w:rPr>
              <w:t>0.08%</w:t>
            </w:r>
            <w:r>
              <w:rPr>
                <w:sz w:val="21"/>
              </w:rPr>
              <w:t xml:space="preserve"> </w:t>
            </w:r>
            <w:r>
              <w:rPr>
                <w:rFonts w:hint="eastAsia"/>
                <w:sz w:val="21"/>
              </w:rPr>
              <w:t xml:space="preserve"> </w:t>
            </w:r>
          </w:p>
        </w:tc>
        <w:tc>
          <w:tcPr>
            <w:tcW w:w="0" w:type="auto"/>
            <w:vMerge/>
            <w:shd w:val="clear" w:color="auto" w:fill="auto"/>
          </w:tcPr>
          <w:p w:rsidR="002C1A0C" w:rsidRDefault="002C1A0C">
            <w:pPr>
              <w:rPr>
                <w:rFonts w:ascii="宋体" w:eastAsia="宋体" w:hAnsi="宋体" w:cs="宋体"/>
                <w:szCs w:val="24"/>
              </w:rPr>
            </w:pPr>
          </w:p>
        </w:tc>
      </w:tr>
      <w:tr w:rsidR="002C1A0C">
        <w:trPr>
          <w:jc w:val="center"/>
        </w:trPr>
        <w:tc>
          <w:tcPr>
            <w:tcW w:w="2880" w:type="dxa"/>
            <w:shd w:val="clear" w:color="auto" w:fill="auto"/>
          </w:tcPr>
          <w:p w:rsidR="002C1A0C" w:rsidRDefault="00864859">
            <w:pPr>
              <w:pStyle w:val="a5"/>
              <w:jc w:val="center"/>
              <w:rPr>
                <w:sz w:val="21"/>
              </w:rPr>
            </w:pPr>
            <w:r>
              <w:rPr>
                <w:rFonts w:hint="eastAsia"/>
                <w:sz w:val="21"/>
              </w:rPr>
              <w:t>100万元≤M＜500万元</w:t>
            </w:r>
            <w:r>
              <w:rPr>
                <w:sz w:val="21"/>
              </w:rPr>
              <w:t xml:space="preserve"> </w:t>
            </w:r>
            <w:r>
              <w:rPr>
                <w:rFonts w:hint="eastAsia"/>
                <w:sz w:val="21"/>
              </w:rPr>
              <w:t xml:space="preserve"> </w:t>
            </w:r>
          </w:p>
        </w:tc>
        <w:tc>
          <w:tcPr>
            <w:tcW w:w="2475" w:type="dxa"/>
            <w:shd w:val="clear" w:color="auto" w:fill="auto"/>
          </w:tcPr>
          <w:p w:rsidR="002C1A0C" w:rsidRDefault="00864859">
            <w:pPr>
              <w:pStyle w:val="a5"/>
              <w:jc w:val="center"/>
              <w:rPr>
                <w:sz w:val="21"/>
              </w:rPr>
            </w:pPr>
            <w:r>
              <w:rPr>
                <w:rFonts w:hint="eastAsia"/>
                <w:sz w:val="21"/>
              </w:rPr>
              <w:t>0.06%</w:t>
            </w:r>
            <w:r>
              <w:rPr>
                <w:sz w:val="21"/>
              </w:rPr>
              <w:t xml:space="preserve"> </w:t>
            </w:r>
            <w:r>
              <w:rPr>
                <w:rFonts w:hint="eastAsia"/>
                <w:sz w:val="21"/>
              </w:rPr>
              <w:t xml:space="preserve"> </w:t>
            </w:r>
          </w:p>
        </w:tc>
        <w:tc>
          <w:tcPr>
            <w:tcW w:w="0" w:type="auto"/>
            <w:vMerge/>
            <w:shd w:val="clear" w:color="auto" w:fill="auto"/>
          </w:tcPr>
          <w:p w:rsidR="002C1A0C" w:rsidRDefault="002C1A0C">
            <w:pPr>
              <w:rPr>
                <w:rFonts w:ascii="宋体" w:eastAsia="宋体" w:hAnsi="宋体" w:cs="宋体"/>
                <w:szCs w:val="24"/>
              </w:rPr>
            </w:pPr>
          </w:p>
        </w:tc>
      </w:tr>
      <w:tr w:rsidR="002C1A0C">
        <w:trPr>
          <w:jc w:val="center"/>
        </w:trPr>
        <w:tc>
          <w:tcPr>
            <w:tcW w:w="2880" w:type="dxa"/>
            <w:shd w:val="clear" w:color="auto" w:fill="auto"/>
          </w:tcPr>
          <w:p w:rsidR="002C1A0C" w:rsidRDefault="00864859">
            <w:pPr>
              <w:pStyle w:val="a5"/>
              <w:jc w:val="center"/>
              <w:rPr>
                <w:sz w:val="21"/>
              </w:rPr>
            </w:pPr>
            <w:r>
              <w:rPr>
                <w:rFonts w:hint="eastAsia"/>
                <w:sz w:val="21"/>
              </w:rPr>
              <w:t>M≥500万元</w:t>
            </w:r>
            <w:r>
              <w:rPr>
                <w:sz w:val="21"/>
              </w:rPr>
              <w:t xml:space="preserve"> </w:t>
            </w:r>
            <w:r>
              <w:rPr>
                <w:rFonts w:hint="eastAsia"/>
                <w:sz w:val="21"/>
              </w:rPr>
              <w:t xml:space="preserve"> </w:t>
            </w:r>
          </w:p>
        </w:tc>
        <w:tc>
          <w:tcPr>
            <w:tcW w:w="2475" w:type="dxa"/>
            <w:shd w:val="clear" w:color="auto" w:fill="auto"/>
          </w:tcPr>
          <w:p w:rsidR="002C1A0C" w:rsidRDefault="00864859">
            <w:pPr>
              <w:pStyle w:val="a5"/>
              <w:jc w:val="center"/>
              <w:rPr>
                <w:sz w:val="21"/>
              </w:rPr>
            </w:pPr>
            <w:r>
              <w:rPr>
                <w:rFonts w:hint="eastAsia"/>
                <w:sz w:val="21"/>
              </w:rPr>
              <w:t>100元/笔</w:t>
            </w:r>
            <w:r>
              <w:rPr>
                <w:sz w:val="21"/>
              </w:rPr>
              <w:t xml:space="preserve"> </w:t>
            </w:r>
            <w:r>
              <w:rPr>
                <w:rFonts w:hint="eastAsia"/>
                <w:sz w:val="21"/>
              </w:rPr>
              <w:t xml:space="preserve"> </w:t>
            </w:r>
          </w:p>
        </w:tc>
        <w:tc>
          <w:tcPr>
            <w:tcW w:w="0" w:type="auto"/>
            <w:vMerge/>
            <w:shd w:val="clear" w:color="auto" w:fill="auto"/>
          </w:tcPr>
          <w:p w:rsidR="002C1A0C" w:rsidRDefault="002C1A0C">
            <w:pPr>
              <w:rPr>
                <w:rFonts w:ascii="宋体" w:eastAsia="宋体" w:hAnsi="宋体" w:cs="宋体"/>
                <w:szCs w:val="24"/>
              </w:rPr>
            </w:pPr>
          </w:p>
        </w:tc>
      </w:tr>
    </w:tbl>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养老金客户指基本养老基金与依法成立的养老计划筹集的资金及其投资运营收益形成的补充养老基金，包括全国社会保障基金、可以投资基金的地方社会保障基金、企业年金单一计划以及集合计划。如将来出现经养老基金监管部门认可的新的养老基金类型，基金管理人可在招募说明书更新时或发布临时公告将其纳入养老金客户范围，并按规定向中国证监会备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（2）除上述养老金客户外，本基金的其他投资者，各类基金份额的申购费率如下表所示： </w:t>
      </w:r>
    </w:p>
    <w:tbl>
      <w:tblPr>
        <w:tblStyle w:val="a6"/>
        <w:tblW w:w="7620" w:type="dxa"/>
        <w:jc w:val="center"/>
        <w:tblLook w:val="04A0" w:firstRow="1" w:lastRow="0" w:firstColumn="1" w:lastColumn="0" w:noHBand="0" w:noVBand="1"/>
      </w:tblPr>
      <w:tblGrid>
        <w:gridCol w:w="3067"/>
        <w:gridCol w:w="2284"/>
        <w:gridCol w:w="2269"/>
      </w:tblGrid>
      <w:tr w:rsidR="002C1A0C">
        <w:trPr>
          <w:jc w:val="center"/>
        </w:trPr>
        <w:tc>
          <w:tcPr>
            <w:tcW w:w="3060" w:type="dxa"/>
            <w:shd w:val="clear" w:color="auto" w:fill="auto"/>
          </w:tcPr>
          <w:p w:rsidR="002C1A0C" w:rsidRDefault="00864859">
            <w:pPr>
              <w:pStyle w:val="a5"/>
              <w:jc w:val="center"/>
              <w:rPr>
                <w:sz w:val="21"/>
              </w:rPr>
            </w:pPr>
            <w:r>
              <w:rPr>
                <w:rFonts w:hint="eastAsia"/>
                <w:sz w:val="21"/>
              </w:rPr>
              <w:t>申购金额（M）</w:t>
            </w:r>
            <w:r>
              <w:rPr>
                <w:sz w:val="21"/>
              </w:rPr>
              <w:t xml:space="preserve"> </w:t>
            </w:r>
            <w:r>
              <w:rPr>
                <w:rFonts w:hint="eastAsia"/>
                <w:sz w:val="21"/>
              </w:rPr>
              <w:t xml:space="preserve"> </w:t>
            </w:r>
          </w:p>
        </w:tc>
        <w:tc>
          <w:tcPr>
            <w:tcW w:w="2280" w:type="dxa"/>
            <w:shd w:val="clear" w:color="auto" w:fill="auto"/>
          </w:tcPr>
          <w:p w:rsidR="002C1A0C" w:rsidRDefault="00864859">
            <w:pPr>
              <w:pStyle w:val="a5"/>
              <w:rPr>
                <w:sz w:val="21"/>
              </w:rPr>
            </w:pPr>
            <w:r>
              <w:rPr>
                <w:rFonts w:hint="eastAsia"/>
                <w:sz w:val="21"/>
              </w:rPr>
              <w:t>A类基金份额申购费率</w:t>
            </w:r>
            <w:r>
              <w:rPr>
                <w:sz w:val="21"/>
              </w:rPr>
              <w:t xml:space="preserve"> </w:t>
            </w:r>
            <w:r>
              <w:rPr>
                <w:rFonts w:hint="eastAsia"/>
                <w:sz w:val="21"/>
              </w:rPr>
              <w:t xml:space="preserve"> </w:t>
            </w:r>
          </w:p>
        </w:tc>
        <w:tc>
          <w:tcPr>
            <w:tcW w:w="2265" w:type="dxa"/>
            <w:shd w:val="clear" w:color="auto" w:fill="auto"/>
          </w:tcPr>
          <w:p w:rsidR="002C1A0C" w:rsidRDefault="00864859">
            <w:pPr>
              <w:pStyle w:val="a5"/>
              <w:rPr>
                <w:sz w:val="21"/>
              </w:rPr>
            </w:pPr>
            <w:r>
              <w:rPr>
                <w:rFonts w:hint="eastAsia"/>
                <w:sz w:val="21"/>
              </w:rPr>
              <w:t>C类基金份额申购费率</w:t>
            </w:r>
            <w:r>
              <w:rPr>
                <w:sz w:val="21"/>
              </w:rPr>
              <w:t xml:space="preserve"> </w:t>
            </w:r>
            <w:r>
              <w:rPr>
                <w:rFonts w:hint="eastAsia"/>
                <w:sz w:val="21"/>
              </w:rPr>
              <w:t xml:space="preserve"> </w:t>
            </w:r>
          </w:p>
        </w:tc>
      </w:tr>
      <w:tr w:rsidR="002C1A0C">
        <w:trPr>
          <w:jc w:val="center"/>
        </w:trPr>
        <w:tc>
          <w:tcPr>
            <w:tcW w:w="3060" w:type="dxa"/>
            <w:shd w:val="clear" w:color="auto" w:fill="auto"/>
          </w:tcPr>
          <w:p w:rsidR="002C1A0C" w:rsidRDefault="00864859">
            <w:pPr>
              <w:pStyle w:val="a5"/>
              <w:jc w:val="center"/>
              <w:rPr>
                <w:sz w:val="21"/>
              </w:rPr>
            </w:pPr>
            <w:r>
              <w:rPr>
                <w:rFonts w:hint="eastAsia"/>
                <w:sz w:val="21"/>
              </w:rPr>
              <w:t>M＜50万元</w:t>
            </w:r>
            <w:r>
              <w:rPr>
                <w:sz w:val="21"/>
              </w:rPr>
              <w:t xml:space="preserve"> </w:t>
            </w:r>
            <w:r>
              <w:rPr>
                <w:rFonts w:hint="eastAsia"/>
                <w:sz w:val="21"/>
              </w:rPr>
              <w:t xml:space="preserve"> </w:t>
            </w:r>
          </w:p>
        </w:tc>
        <w:tc>
          <w:tcPr>
            <w:tcW w:w="2280" w:type="dxa"/>
            <w:shd w:val="clear" w:color="auto" w:fill="auto"/>
          </w:tcPr>
          <w:p w:rsidR="002C1A0C" w:rsidRDefault="00864859">
            <w:pPr>
              <w:pStyle w:val="a5"/>
              <w:jc w:val="center"/>
              <w:rPr>
                <w:sz w:val="21"/>
              </w:rPr>
            </w:pPr>
            <w:r>
              <w:rPr>
                <w:rFonts w:hint="eastAsia"/>
                <w:sz w:val="21"/>
              </w:rPr>
              <w:t>1.20%</w:t>
            </w:r>
            <w:r>
              <w:rPr>
                <w:sz w:val="21"/>
              </w:rPr>
              <w:t xml:space="preserve"> </w:t>
            </w:r>
            <w:r>
              <w:rPr>
                <w:rFonts w:hint="eastAsia"/>
                <w:sz w:val="21"/>
              </w:rPr>
              <w:t xml:space="preserve"> </w:t>
            </w:r>
          </w:p>
        </w:tc>
        <w:tc>
          <w:tcPr>
            <w:tcW w:w="2265" w:type="dxa"/>
            <w:vMerge w:val="restart"/>
            <w:shd w:val="clear" w:color="auto" w:fill="auto"/>
          </w:tcPr>
          <w:p w:rsidR="002C1A0C" w:rsidRDefault="00864859">
            <w:pPr>
              <w:pStyle w:val="a5"/>
              <w:ind w:firstLine="420"/>
              <w:rPr>
                <w:sz w:val="21"/>
              </w:rPr>
            </w:pPr>
            <w:r>
              <w:rPr>
                <w:sz w:val="21"/>
              </w:rPr>
              <w:t xml:space="preserve"> </w:t>
            </w:r>
            <w:r>
              <w:rPr>
                <w:rFonts w:hint="eastAsia"/>
                <w:sz w:val="21"/>
              </w:rPr>
              <w:t xml:space="preserve"> </w:t>
            </w:r>
          </w:p>
          <w:p w:rsidR="002C1A0C" w:rsidRDefault="00864859">
            <w:pPr>
              <w:pStyle w:val="a5"/>
              <w:ind w:firstLine="420"/>
              <w:rPr>
                <w:sz w:val="21"/>
              </w:rPr>
            </w:pPr>
            <w:r>
              <w:rPr>
                <w:rFonts w:hint="eastAsia"/>
                <w:sz w:val="21"/>
              </w:rPr>
              <w:t>0.00%</w:t>
            </w:r>
            <w:r>
              <w:rPr>
                <w:sz w:val="21"/>
              </w:rPr>
              <w:t xml:space="preserve"> </w:t>
            </w:r>
            <w:r>
              <w:rPr>
                <w:rFonts w:hint="eastAsia"/>
                <w:sz w:val="21"/>
              </w:rPr>
              <w:t xml:space="preserve"> </w:t>
            </w:r>
          </w:p>
        </w:tc>
      </w:tr>
      <w:tr w:rsidR="002C1A0C">
        <w:trPr>
          <w:jc w:val="center"/>
        </w:trPr>
        <w:tc>
          <w:tcPr>
            <w:tcW w:w="3060" w:type="dxa"/>
            <w:shd w:val="clear" w:color="auto" w:fill="auto"/>
          </w:tcPr>
          <w:p w:rsidR="002C1A0C" w:rsidRDefault="00864859">
            <w:pPr>
              <w:pStyle w:val="a5"/>
              <w:jc w:val="center"/>
              <w:rPr>
                <w:sz w:val="21"/>
              </w:rPr>
            </w:pPr>
            <w:r>
              <w:rPr>
                <w:rFonts w:hint="eastAsia"/>
                <w:sz w:val="21"/>
              </w:rPr>
              <w:t>50万元≤M＜100万元</w:t>
            </w:r>
            <w:r>
              <w:rPr>
                <w:sz w:val="21"/>
              </w:rPr>
              <w:t xml:space="preserve"> </w:t>
            </w:r>
            <w:r>
              <w:rPr>
                <w:rFonts w:hint="eastAsia"/>
                <w:sz w:val="21"/>
              </w:rPr>
              <w:t xml:space="preserve"> </w:t>
            </w:r>
          </w:p>
        </w:tc>
        <w:tc>
          <w:tcPr>
            <w:tcW w:w="2280" w:type="dxa"/>
            <w:shd w:val="clear" w:color="auto" w:fill="auto"/>
          </w:tcPr>
          <w:p w:rsidR="002C1A0C" w:rsidRDefault="00864859">
            <w:pPr>
              <w:pStyle w:val="a5"/>
              <w:jc w:val="center"/>
              <w:rPr>
                <w:sz w:val="21"/>
              </w:rPr>
            </w:pPr>
            <w:r>
              <w:rPr>
                <w:rFonts w:hint="eastAsia"/>
                <w:sz w:val="21"/>
              </w:rPr>
              <w:t>0.80%</w:t>
            </w:r>
            <w:r>
              <w:rPr>
                <w:sz w:val="21"/>
              </w:rPr>
              <w:t xml:space="preserve"> </w:t>
            </w:r>
            <w:r>
              <w:rPr>
                <w:rFonts w:hint="eastAsia"/>
                <w:sz w:val="21"/>
              </w:rPr>
              <w:t xml:space="preserve"> </w:t>
            </w:r>
          </w:p>
        </w:tc>
        <w:tc>
          <w:tcPr>
            <w:tcW w:w="0" w:type="auto"/>
            <w:vMerge/>
            <w:shd w:val="clear" w:color="auto" w:fill="auto"/>
          </w:tcPr>
          <w:p w:rsidR="002C1A0C" w:rsidRDefault="002C1A0C">
            <w:pPr>
              <w:rPr>
                <w:rFonts w:ascii="宋体" w:eastAsia="宋体" w:hAnsi="宋体" w:cs="宋体"/>
                <w:szCs w:val="24"/>
              </w:rPr>
            </w:pPr>
          </w:p>
        </w:tc>
      </w:tr>
      <w:tr w:rsidR="002C1A0C">
        <w:trPr>
          <w:jc w:val="center"/>
        </w:trPr>
        <w:tc>
          <w:tcPr>
            <w:tcW w:w="3060" w:type="dxa"/>
            <w:shd w:val="clear" w:color="auto" w:fill="auto"/>
          </w:tcPr>
          <w:p w:rsidR="002C1A0C" w:rsidRDefault="00864859">
            <w:pPr>
              <w:pStyle w:val="a5"/>
              <w:jc w:val="center"/>
              <w:rPr>
                <w:sz w:val="21"/>
              </w:rPr>
            </w:pPr>
            <w:r>
              <w:rPr>
                <w:rFonts w:hint="eastAsia"/>
                <w:sz w:val="21"/>
              </w:rPr>
              <w:t>100万元≤M＜500万元</w:t>
            </w:r>
            <w:r>
              <w:rPr>
                <w:sz w:val="21"/>
              </w:rPr>
              <w:t xml:space="preserve"> </w:t>
            </w:r>
            <w:r>
              <w:rPr>
                <w:rFonts w:hint="eastAsia"/>
                <w:sz w:val="21"/>
              </w:rPr>
              <w:t xml:space="preserve"> </w:t>
            </w:r>
          </w:p>
        </w:tc>
        <w:tc>
          <w:tcPr>
            <w:tcW w:w="2280" w:type="dxa"/>
            <w:shd w:val="clear" w:color="auto" w:fill="auto"/>
          </w:tcPr>
          <w:p w:rsidR="002C1A0C" w:rsidRDefault="00864859">
            <w:pPr>
              <w:pStyle w:val="a5"/>
              <w:jc w:val="center"/>
              <w:rPr>
                <w:sz w:val="21"/>
              </w:rPr>
            </w:pPr>
            <w:r>
              <w:rPr>
                <w:rFonts w:hint="eastAsia"/>
                <w:sz w:val="21"/>
              </w:rPr>
              <w:t>0.60%</w:t>
            </w:r>
            <w:r>
              <w:rPr>
                <w:sz w:val="21"/>
              </w:rPr>
              <w:t xml:space="preserve"> </w:t>
            </w:r>
            <w:r>
              <w:rPr>
                <w:rFonts w:hint="eastAsia"/>
                <w:sz w:val="21"/>
              </w:rPr>
              <w:t xml:space="preserve"> </w:t>
            </w:r>
          </w:p>
        </w:tc>
        <w:tc>
          <w:tcPr>
            <w:tcW w:w="0" w:type="auto"/>
            <w:vMerge/>
            <w:shd w:val="clear" w:color="auto" w:fill="auto"/>
          </w:tcPr>
          <w:p w:rsidR="002C1A0C" w:rsidRDefault="002C1A0C">
            <w:pPr>
              <w:rPr>
                <w:rFonts w:ascii="宋体" w:eastAsia="宋体" w:hAnsi="宋体" w:cs="宋体"/>
                <w:szCs w:val="24"/>
              </w:rPr>
            </w:pPr>
          </w:p>
        </w:tc>
      </w:tr>
      <w:tr w:rsidR="002C1A0C">
        <w:trPr>
          <w:jc w:val="center"/>
        </w:trPr>
        <w:tc>
          <w:tcPr>
            <w:tcW w:w="3060" w:type="dxa"/>
            <w:shd w:val="clear" w:color="auto" w:fill="auto"/>
          </w:tcPr>
          <w:p w:rsidR="002C1A0C" w:rsidRDefault="00864859">
            <w:pPr>
              <w:pStyle w:val="a5"/>
              <w:jc w:val="center"/>
              <w:rPr>
                <w:sz w:val="21"/>
              </w:rPr>
            </w:pPr>
            <w:r>
              <w:rPr>
                <w:rFonts w:hint="eastAsia"/>
                <w:sz w:val="21"/>
              </w:rPr>
              <w:t>M≥500万元</w:t>
            </w:r>
            <w:r>
              <w:rPr>
                <w:sz w:val="21"/>
              </w:rPr>
              <w:t xml:space="preserve"> </w:t>
            </w:r>
            <w:r>
              <w:rPr>
                <w:rFonts w:hint="eastAsia"/>
                <w:sz w:val="21"/>
              </w:rPr>
              <w:t xml:space="preserve"> </w:t>
            </w:r>
          </w:p>
        </w:tc>
        <w:tc>
          <w:tcPr>
            <w:tcW w:w="2280" w:type="dxa"/>
            <w:shd w:val="clear" w:color="auto" w:fill="auto"/>
          </w:tcPr>
          <w:p w:rsidR="002C1A0C" w:rsidRDefault="00864859">
            <w:pPr>
              <w:pStyle w:val="a5"/>
              <w:jc w:val="center"/>
              <w:rPr>
                <w:sz w:val="21"/>
              </w:rPr>
            </w:pPr>
            <w:r>
              <w:rPr>
                <w:rFonts w:hint="eastAsia"/>
                <w:sz w:val="21"/>
              </w:rPr>
              <w:t>1000元/笔</w:t>
            </w:r>
            <w:r>
              <w:rPr>
                <w:sz w:val="21"/>
              </w:rPr>
              <w:t xml:space="preserve"> </w:t>
            </w:r>
            <w:r>
              <w:rPr>
                <w:rFonts w:hint="eastAsia"/>
                <w:sz w:val="21"/>
              </w:rPr>
              <w:t xml:space="preserve"> </w:t>
            </w:r>
          </w:p>
        </w:tc>
        <w:tc>
          <w:tcPr>
            <w:tcW w:w="0" w:type="auto"/>
            <w:vMerge/>
            <w:shd w:val="clear" w:color="auto" w:fill="auto"/>
          </w:tcPr>
          <w:p w:rsidR="002C1A0C" w:rsidRDefault="002C1A0C">
            <w:pPr>
              <w:rPr>
                <w:rFonts w:ascii="宋体" w:eastAsia="宋体" w:hAnsi="宋体" w:cs="宋体"/>
                <w:szCs w:val="24"/>
              </w:rPr>
            </w:pPr>
          </w:p>
        </w:tc>
      </w:tr>
    </w:tbl>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2、赎回费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赎回费率见下表： </w:t>
      </w:r>
    </w:p>
    <w:tbl>
      <w:tblPr>
        <w:tblStyle w:val="a6"/>
        <w:tblW w:w="6780" w:type="dxa"/>
        <w:jc w:val="center"/>
        <w:tblLook w:val="04A0" w:firstRow="1" w:lastRow="0" w:firstColumn="1" w:lastColumn="0" w:noHBand="0" w:noVBand="1"/>
      </w:tblPr>
      <w:tblGrid>
        <w:gridCol w:w="2947"/>
        <w:gridCol w:w="3833"/>
      </w:tblGrid>
      <w:tr w:rsidR="002C1A0C">
        <w:trPr>
          <w:jc w:val="center"/>
        </w:trPr>
        <w:tc>
          <w:tcPr>
            <w:tcW w:w="2940" w:type="dxa"/>
            <w:shd w:val="clear" w:color="auto" w:fill="auto"/>
          </w:tcPr>
          <w:p w:rsidR="002C1A0C" w:rsidRDefault="00864859">
            <w:pPr>
              <w:pStyle w:val="a5"/>
              <w:ind w:firstLine="420"/>
              <w:jc w:val="center"/>
              <w:rPr>
                <w:sz w:val="21"/>
              </w:rPr>
            </w:pPr>
            <w:r>
              <w:rPr>
                <w:rFonts w:hint="eastAsia"/>
                <w:sz w:val="21"/>
              </w:rPr>
              <w:t>持有基金份额期限（Y）</w:t>
            </w:r>
            <w:r>
              <w:rPr>
                <w:sz w:val="21"/>
              </w:rPr>
              <w:t xml:space="preserve"> </w:t>
            </w:r>
            <w:r>
              <w:rPr>
                <w:rFonts w:hint="eastAsia"/>
                <w:sz w:val="21"/>
              </w:rPr>
              <w:t xml:space="preserve"> </w:t>
            </w:r>
          </w:p>
        </w:tc>
        <w:tc>
          <w:tcPr>
            <w:tcW w:w="3825" w:type="dxa"/>
            <w:shd w:val="clear" w:color="auto" w:fill="auto"/>
          </w:tcPr>
          <w:p w:rsidR="002C1A0C" w:rsidRDefault="00864859">
            <w:pPr>
              <w:pStyle w:val="a5"/>
              <w:jc w:val="center"/>
              <w:rPr>
                <w:sz w:val="21"/>
              </w:rPr>
            </w:pPr>
            <w:r>
              <w:rPr>
                <w:rFonts w:hint="eastAsia"/>
                <w:sz w:val="21"/>
              </w:rPr>
              <w:t>A/C类基金份额的赎回费率</w:t>
            </w:r>
            <w:r>
              <w:rPr>
                <w:sz w:val="21"/>
              </w:rPr>
              <w:t xml:space="preserve"> </w:t>
            </w:r>
            <w:r>
              <w:rPr>
                <w:rFonts w:hint="eastAsia"/>
                <w:sz w:val="21"/>
              </w:rPr>
              <w:t xml:space="preserve"> </w:t>
            </w:r>
          </w:p>
        </w:tc>
      </w:tr>
      <w:tr w:rsidR="002C1A0C">
        <w:trPr>
          <w:jc w:val="center"/>
        </w:trPr>
        <w:tc>
          <w:tcPr>
            <w:tcW w:w="2940" w:type="dxa"/>
            <w:shd w:val="clear" w:color="auto" w:fill="auto"/>
          </w:tcPr>
          <w:p w:rsidR="002C1A0C" w:rsidRDefault="00864859">
            <w:pPr>
              <w:pStyle w:val="a5"/>
              <w:ind w:firstLine="420"/>
              <w:jc w:val="center"/>
              <w:rPr>
                <w:sz w:val="21"/>
              </w:rPr>
            </w:pPr>
            <w:r>
              <w:rPr>
                <w:rFonts w:hint="eastAsia"/>
                <w:sz w:val="21"/>
              </w:rPr>
              <w:t>Y＜7日</w:t>
            </w:r>
            <w:r>
              <w:rPr>
                <w:sz w:val="21"/>
              </w:rPr>
              <w:t xml:space="preserve"> </w:t>
            </w:r>
            <w:r>
              <w:rPr>
                <w:rFonts w:hint="eastAsia"/>
                <w:sz w:val="21"/>
              </w:rPr>
              <w:t xml:space="preserve"> </w:t>
            </w:r>
          </w:p>
        </w:tc>
        <w:tc>
          <w:tcPr>
            <w:tcW w:w="3825" w:type="dxa"/>
            <w:shd w:val="clear" w:color="auto" w:fill="auto"/>
          </w:tcPr>
          <w:p w:rsidR="002C1A0C" w:rsidRDefault="00864859">
            <w:pPr>
              <w:pStyle w:val="a5"/>
              <w:ind w:firstLine="420"/>
              <w:jc w:val="center"/>
              <w:rPr>
                <w:sz w:val="21"/>
              </w:rPr>
            </w:pPr>
            <w:r>
              <w:rPr>
                <w:rFonts w:hint="eastAsia"/>
                <w:sz w:val="21"/>
              </w:rPr>
              <w:t>1.50%</w:t>
            </w:r>
            <w:r>
              <w:rPr>
                <w:sz w:val="21"/>
              </w:rPr>
              <w:t xml:space="preserve"> </w:t>
            </w:r>
            <w:r>
              <w:rPr>
                <w:rFonts w:hint="eastAsia"/>
                <w:sz w:val="21"/>
              </w:rPr>
              <w:t xml:space="preserve"> </w:t>
            </w:r>
          </w:p>
        </w:tc>
      </w:tr>
      <w:tr w:rsidR="002C1A0C">
        <w:trPr>
          <w:jc w:val="center"/>
        </w:trPr>
        <w:tc>
          <w:tcPr>
            <w:tcW w:w="2940" w:type="dxa"/>
            <w:shd w:val="clear" w:color="auto" w:fill="auto"/>
          </w:tcPr>
          <w:p w:rsidR="002C1A0C" w:rsidRDefault="00864859">
            <w:pPr>
              <w:pStyle w:val="a5"/>
              <w:ind w:firstLine="420"/>
              <w:jc w:val="center"/>
              <w:rPr>
                <w:sz w:val="21"/>
              </w:rPr>
            </w:pPr>
            <w:r>
              <w:rPr>
                <w:rFonts w:hint="eastAsia"/>
                <w:sz w:val="21"/>
              </w:rPr>
              <w:t>7日≤Y＜30日</w:t>
            </w:r>
            <w:r>
              <w:rPr>
                <w:sz w:val="21"/>
              </w:rPr>
              <w:t xml:space="preserve"> </w:t>
            </w:r>
            <w:r>
              <w:rPr>
                <w:rFonts w:hint="eastAsia"/>
                <w:sz w:val="21"/>
              </w:rPr>
              <w:t xml:space="preserve"> </w:t>
            </w:r>
          </w:p>
        </w:tc>
        <w:tc>
          <w:tcPr>
            <w:tcW w:w="3825" w:type="dxa"/>
            <w:shd w:val="clear" w:color="auto" w:fill="auto"/>
          </w:tcPr>
          <w:p w:rsidR="002C1A0C" w:rsidRDefault="00864859">
            <w:pPr>
              <w:pStyle w:val="a5"/>
              <w:ind w:firstLine="420"/>
              <w:jc w:val="center"/>
              <w:rPr>
                <w:sz w:val="21"/>
              </w:rPr>
            </w:pPr>
            <w:r>
              <w:rPr>
                <w:rFonts w:hint="eastAsia"/>
                <w:sz w:val="21"/>
              </w:rPr>
              <w:t>0.75%</w:t>
            </w:r>
            <w:r>
              <w:rPr>
                <w:sz w:val="21"/>
              </w:rPr>
              <w:t xml:space="preserve"> </w:t>
            </w:r>
            <w:r>
              <w:rPr>
                <w:rFonts w:hint="eastAsia"/>
                <w:sz w:val="21"/>
              </w:rPr>
              <w:t xml:space="preserve"> </w:t>
            </w:r>
          </w:p>
        </w:tc>
      </w:tr>
      <w:tr w:rsidR="002C1A0C">
        <w:trPr>
          <w:jc w:val="center"/>
        </w:trPr>
        <w:tc>
          <w:tcPr>
            <w:tcW w:w="2940" w:type="dxa"/>
            <w:shd w:val="clear" w:color="auto" w:fill="auto"/>
          </w:tcPr>
          <w:p w:rsidR="002C1A0C" w:rsidRDefault="00864859">
            <w:pPr>
              <w:pStyle w:val="a5"/>
              <w:ind w:firstLine="420"/>
              <w:jc w:val="center"/>
              <w:rPr>
                <w:sz w:val="21"/>
              </w:rPr>
            </w:pPr>
            <w:r>
              <w:rPr>
                <w:rFonts w:hint="eastAsia"/>
                <w:sz w:val="21"/>
              </w:rPr>
              <w:t>30日≤Y＜3个月</w:t>
            </w:r>
            <w:r>
              <w:rPr>
                <w:sz w:val="21"/>
              </w:rPr>
              <w:t xml:space="preserve"> </w:t>
            </w:r>
            <w:r>
              <w:rPr>
                <w:rFonts w:hint="eastAsia"/>
                <w:sz w:val="21"/>
              </w:rPr>
              <w:t xml:space="preserve"> </w:t>
            </w:r>
          </w:p>
        </w:tc>
        <w:tc>
          <w:tcPr>
            <w:tcW w:w="3825" w:type="dxa"/>
            <w:shd w:val="clear" w:color="auto" w:fill="auto"/>
          </w:tcPr>
          <w:p w:rsidR="002C1A0C" w:rsidRDefault="00864859">
            <w:pPr>
              <w:pStyle w:val="a5"/>
              <w:ind w:firstLine="420"/>
              <w:jc w:val="center"/>
              <w:rPr>
                <w:sz w:val="21"/>
              </w:rPr>
            </w:pPr>
            <w:r>
              <w:rPr>
                <w:rFonts w:hint="eastAsia"/>
                <w:sz w:val="21"/>
              </w:rPr>
              <w:t>0.50%</w:t>
            </w:r>
            <w:r>
              <w:rPr>
                <w:sz w:val="21"/>
              </w:rPr>
              <w:t xml:space="preserve"> </w:t>
            </w:r>
            <w:r>
              <w:rPr>
                <w:rFonts w:hint="eastAsia"/>
                <w:sz w:val="21"/>
              </w:rPr>
              <w:t xml:space="preserve"> </w:t>
            </w:r>
          </w:p>
        </w:tc>
      </w:tr>
      <w:tr w:rsidR="002C1A0C">
        <w:trPr>
          <w:jc w:val="center"/>
        </w:trPr>
        <w:tc>
          <w:tcPr>
            <w:tcW w:w="2940" w:type="dxa"/>
            <w:shd w:val="clear" w:color="auto" w:fill="auto"/>
          </w:tcPr>
          <w:p w:rsidR="002C1A0C" w:rsidRDefault="00864859">
            <w:pPr>
              <w:pStyle w:val="a5"/>
              <w:ind w:firstLine="420"/>
              <w:jc w:val="center"/>
              <w:rPr>
                <w:sz w:val="21"/>
              </w:rPr>
            </w:pPr>
            <w:r>
              <w:rPr>
                <w:rFonts w:hint="eastAsia"/>
                <w:sz w:val="21"/>
              </w:rPr>
              <w:t>3个月≤Y＜6个月</w:t>
            </w:r>
            <w:r>
              <w:rPr>
                <w:sz w:val="21"/>
              </w:rPr>
              <w:t xml:space="preserve"> </w:t>
            </w:r>
            <w:r>
              <w:rPr>
                <w:rFonts w:hint="eastAsia"/>
                <w:sz w:val="21"/>
              </w:rPr>
              <w:t xml:space="preserve"> </w:t>
            </w:r>
          </w:p>
        </w:tc>
        <w:tc>
          <w:tcPr>
            <w:tcW w:w="3825" w:type="dxa"/>
            <w:shd w:val="clear" w:color="auto" w:fill="auto"/>
          </w:tcPr>
          <w:p w:rsidR="002C1A0C" w:rsidRDefault="00864859">
            <w:pPr>
              <w:pStyle w:val="a5"/>
              <w:ind w:firstLine="420"/>
              <w:jc w:val="center"/>
              <w:rPr>
                <w:sz w:val="21"/>
              </w:rPr>
            </w:pPr>
            <w:r>
              <w:rPr>
                <w:rFonts w:hint="eastAsia"/>
                <w:sz w:val="21"/>
              </w:rPr>
              <w:t>0.50%</w:t>
            </w:r>
            <w:r>
              <w:rPr>
                <w:sz w:val="21"/>
              </w:rPr>
              <w:t xml:space="preserve"> </w:t>
            </w:r>
            <w:r>
              <w:rPr>
                <w:rFonts w:hint="eastAsia"/>
                <w:sz w:val="21"/>
              </w:rPr>
              <w:t xml:space="preserve"> </w:t>
            </w:r>
          </w:p>
        </w:tc>
      </w:tr>
      <w:tr w:rsidR="002C1A0C">
        <w:trPr>
          <w:jc w:val="center"/>
        </w:trPr>
        <w:tc>
          <w:tcPr>
            <w:tcW w:w="2940" w:type="dxa"/>
            <w:shd w:val="clear" w:color="auto" w:fill="auto"/>
          </w:tcPr>
          <w:p w:rsidR="002C1A0C" w:rsidRDefault="00864859">
            <w:pPr>
              <w:pStyle w:val="a5"/>
              <w:ind w:firstLine="420"/>
              <w:jc w:val="center"/>
              <w:rPr>
                <w:sz w:val="21"/>
              </w:rPr>
            </w:pPr>
            <w:r>
              <w:rPr>
                <w:rFonts w:hint="eastAsia"/>
                <w:sz w:val="21"/>
              </w:rPr>
              <w:t>Y≥6个月</w:t>
            </w:r>
            <w:r>
              <w:rPr>
                <w:sz w:val="21"/>
              </w:rPr>
              <w:t xml:space="preserve"> </w:t>
            </w:r>
            <w:r>
              <w:rPr>
                <w:rFonts w:hint="eastAsia"/>
                <w:sz w:val="21"/>
              </w:rPr>
              <w:t xml:space="preserve"> </w:t>
            </w:r>
          </w:p>
        </w:tc>
        <w:tc>
          <w:tcPr>
            <w:tcW w:w="3825" w:type="dxa"/>
            <w:shd w:val="clear" w:color="auto" w:fill="auto"/>
          </w:tcPr>
          <w:p w:rsidR="002C1A0C" w:rsidRDefault="00864859">
            <w:pPr>
              <w:pStyle w:val="a5"/>
              <w:ind w:firstLine="420"/>
              <w:jc w:val="center"/>
              <w:rPr>
                <w:sz w:val="21"/>
              </w:rPr>
            </w:pPr>
            <w:r>
              <w:rPr>
                <w:rFonts w:hint="eastAsia"/>
                <w:sz w:val="21"/>
              </w:rPr>
              <w:t>0%</w:t>
            </w:r>
            <w:r>
              <w:rPr>
                <w:sz w:val="21"/>
              </w:rPr>
              <w:t xml:space="preserve"> </w:t>
            </w:r>
            <w:r>
              <w:rPr>
                <w:rFonts w:hint="eastAsia"/>
                <w:sz w:val="21"/>
              </w:rPr>
              <w:t xml:space="preserve"> </w:t>
            </w:r>
          </w:p>
        </w:tc>
      </w:tr>
    </w:tbl>
    <w:p w:rsidR="002C1A0C" w:rsidRDefault="00864859">
      <w:pPr>
        <w:pStyle w:val="a5"/>
        <w:spacing w:before="0" w:beforeAutospacing="0" w:after="0" w:afterAutospacing="0" w:line="360" w:lineRule="auto"/>
        <w:ind w:firstLine="420"/>
        <w:rPr>
          <w:sz w:val="21"/>
          <w:szCs w:val="21"/>
        </w:rPr>
      </w:pPr>
      <w:r>
        <w:rPr>
          <w:rFonts w:hint="eastAsia"/>
          <w:sz w:val="21"/>
          <w:szCs w:val="21"/>
        </w:rPr>
        <w:t>注：1个月按30日计算</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赎回费用由赎回基金份额的基金份额持有人承担。本基金的赎回费用在投资者赎回本基金份额时收取，扣除用于市场推广、登记费和其他手续费后的余额归基金财产。对持有期在30日以内的投资人收取的赎回费，全额计入基金资产；对持有期在30日至3个月的投资人收取的赎回费，75%计入基金资产；对持续持有期长于3个月但少于6个月的投资人的赎回费50%计入基金资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3、基金管理人可以在基金合同约定的范围内调整费率或收费方式，并最迟应于新的费率或收费方式实施日前依照《信息披露办法》的有关规定在指定媒介上公告。</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b/>
          <w:bCs/>
          <w:sz w:val="21"/>
          <w:szCs w:val="21"/>
        </w:rPr>
        <w:t>七、申购份额与赎回金额的计算方式</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1、本基金申购份额的计算方式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（1）A类基金份额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申购费用适用比例费率时：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净申购金额＝申购金额/（1＋申购费率）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申购费用＝申购金额－净申购金额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申购份额＝净申购金额/申购当日A类基金份额净值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申购费用适用固定金额时：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申购费用＝固定金额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净申购金额＝申购金额－申购费用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申购份额＝净申购金额/申购当日A类基金份额净值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申购份额的计算结果均按照四舍五入方法，保留到小数点后两位，由此误差产生的损失由基金财产承担，产生的收益归基金财产所有。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（2）C类基金份额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申购份额=申购金额/申购当日C类基金份额净值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申购份额的计算结果均按照四舍五入方法，保留到小数点后两位，由此误差产生的损失由基金财产承担，产生的收益归基金财产所有。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例1：假定T日A类基金份额净值为1.0160元，某投资人（非养老金客户）本次通过申购本基金A类基金份额10万元，对应的本次申购费率为1.20%，该投资人（非养老金客户）可得到的A类基金份额为： </w:t>
      </w:r>
    </w:p>
    <w:p w:rsidR="002C1A0C" w:rsidRDefault="00864859">
      <w:pPr>
        <w:pStyle w:val="a5"/>
        <w:spacing w:before="0" w:beforeAutospacing="0" w:after="0" w:afterAutospacing="0" w:line="360" w:lineRule="auto"/>
        <w:ind w:firstLine="420"/>
        <w:rPr>
          <w:sz w:val="21"/>
          <w:szCs w:val="21"/>
        </w:rPr>
      </w:pPr>
      <w:r>
        <w:rPr>
          <w:rFonts w:hint="eastAsia"/>
          <w:sz w:val="21"/>
          <w:szCs w:val="21"/>
        </w:rPr>
        <w:t>净申购金额＝100,000/</w:t>
      </w:r>
      <w:r>
        <w:rPr>
          <w:sz w:val="21"/>
          <w:szCs w:val="21"/>
        </w:rPr>
        <w:t xml:space="preserve"> </w:t>
      </w:r>
      <w:r>
        <w:rPr>
          <w:rFonts w:hint="eastAsia"/>
          <w:sz w:val="21"/>
          <w:szCs w:val="21"/>
        </w:rPr>
        <w:t xml:space="preserve">(1＋1.20%)＝98,814.23元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申购费用＝100,000－98,814.23＝1185.77元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申购份额＝98,814.23/1.0160＝97,258.10份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即：投资者（非养老金客户）投资10万元申购本基金A类基金份额，假定申购当日A类基金份额净值为1.0160元，可得到97,258.10份A类基金份额。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例2：假设某投资者（非养老金客户）投资10万元申购本基金C类基金份额，申购当日本基金C类基金份额净值为1.0600元，则可得到的申购份额为：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申购份额＝100,000/1.0600＝94,339.62份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即：投资者（非养老金客户）投资10万元申购本基金C类基金份额，假设申购当日本基金C类基金份额净值为1.0600元，则其可得到94,339.62份C类基金份额。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2、赎回金额的计算方式：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本基金的净赎回金额为赎回金额扣减赎回费用。采用“份额赎回”方式，赎回价格以T</w:t>
      </w:r>
      <w:r>
        <w:rPr>
          <w:sz w:val="21"/>
          <w:szCs w:val="21"/>
        </w:rPr>
        <w:t xml:space="preserve"> </w:t>
      </w:r>
      <w:r>
        <w:rPr>
          <w:rFonts w:hint="eastAsia"/>
          <w:sz w:val="21"/>
          <w:szCs w:val="21"/>
        </w:rPr>
        <w:t xml:space="preserve">日的基金份额净值为基准进行计算，其中： </w:t>
      </w:r>
    </w:p>
    <w:p w:rsidR="002C1A0C" w:rsidRDefault="00864859">
      <w:pPr>
        <w:pStyle w:val="a5"/>
        <w:spacing w:before="0" w:beforeAutospacing="0" w:after="0" w:afterAutospacing="0" w:line="360" w:lineRule="auto"/>
        <w:ind w:firstLine="420"/>
        <w:rPr>
          <w:sz w:val="21"/>
          <w:szCs w:val="21"/>
        </w:rPr>
      </w:pPr>
      <w:r>
        <w:rPr>
          <w:sz w:val="21"/>
          <w:szCs w:val="21"/>
        </w:rPr>
        <w:t xml:space="preserve"> </w:t>
      </w:r>
      <w:r>
        <w:rPr>
          <w:rFonts w:hint="eastAsia"/>
          <w:sz w:val="21"/>
          <w:szCs w:val="21"/>
        </w:rPr>
        <w:t>赎回金额＝赎回份额×T</w:t>
      </w:r>
      <w:r>
        <w:rPr>
          <w:sz w:val="21"/>
          <w:szCs w:val="21"/>
        </w:rPr>
        <w:t xml:space="preserve"> </w:t>
      </w:r>
      <w:r>
        <w:rPr>
          <w:rFonts w:hint="eastAsia"/>
          <w:sz w:val="21"/>
          <w:szCs w:val="21"/>
        </w:rPr>
        <w:t>日该类基金份额的基金份额净值</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赎回费用＝赎回份额×T</w:t>
      </w:r>
      <w:r>
        <w:rPr>
          <w:sz w:val="21"/>
          <w:szCs w:val="21"/>
        </w:rPr>
        <w:t xml:space="preserve"> </w:t>
      </w:r>
      <w:r>
        <w:rPr>
          <w:rFonts w:hint="eastAsia"/>
          <w:sz w:val="21"/>
          <w:szCs w:val="21"/>
        </w:rPr>
        <w:t>日该类基金份额的基金份额净值×赎回费率</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净赎回金额＝赎回金额－赎回费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赎回金额单位为人民币元，计算结果按四舍五入方法，保留到小数点后两位，由此产生的收益或损失由基金财产享有或承担。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例3：假设某投资者赎回A类基金份额100,000份，持有时间为1年，则对应的赎回费率为0，假设赎回当日A类基金份额净值是1.0600元，则可得到的赎回金额为： </w:t>
      </w:r>
    </w:p>
    <w:p w:rsidR="002C1A0C" w:rsidRDefault="00864859">
      <w:pPr>
        <w:pStyle w:val="a5"/>
        <w:spacing w:before="0" w:beforeAutospacing="0" w:after="0" w:afterAutospacing="0" w:line="360" w:lineRule="auto"/>
        <w:ind w:firstLine="420"/>
        <w:rPr>
          <w:sz w:val="21"/>
          <w:szCs w:val="21"/>
        </w:rPr>
      </w:pPr>
      <w:r>
        <w:rPr>
          <w:sz w:val="21"/>
          <w:szCs w:val="21"/>
        </w:rPr>
        <w:t xml:space="preserve"> </w:t>
      </w:r>
      <w:r>
        <w:rPr>
          <w:rFonts w:hint="eastAsia"/>
          <w:sz w:val="21"/>
          <w:szCs w:val="21"/>
        </w:rPr>
        <w:t xml:space="preserve">赎回金额＝100,000×1.0600=106,000.00(元) </w:t>
      </w:r>
    </w:p>
    <w:p w:rsidR="002C1A0C" w:rsidRDefault="00864859">
      <w:pPr>
        <w:pStyle w:val="a5"/>
        <w:spacing w:before="0" w:beforeAutospacing="0" w:after="0" w:afterAutospacing="0" w:line="360" w:lineRule="auto"/>
        <w:ind w:firstLine="420"/>
        <w:rPr>
          <w:sz w:val="21"/>
          <w:szCs w:val="21"/>
        </w:rPr>
      </w:pPr>
      <w:r>
        <w:rPr>
          <w:rFonts w:hint="eastAsia"/>
          <w:sz w:val="21"/>
          <w:szCs w:val="21"/>
        </w:rPr>
        <w:t>赎回费用＝100,000×1.0600×0＝0</w:t>
      </w:r>
      <w:r>
        <w:rPr>
          <w:sz w:val="21"/>
          <w:szCs w:val="21"/>
        </w:rPr>
        <w:t xml:space="preserve"> </w:t>
      </w:r>
      <w:r>
        <w:rPr>
          <w:rFonts w:hint="eastAsia"/>
          <w:sz w:val="21"/>
          <w:szCs w:val="21"/>
        </w:rPr>
        <w:t xml:space="preserve">(元) </w:t>
      </w:r>
    </w:p>
    <w:p w:rsidR="002C1A0C" w:rsidRDefault="00864859">
      <w:pPr>
        <w:pStyle w:val="a5"/>
        <w:spacing w:before="0" w:beforeAutospacing="0" w:after="0" w:afterAutospacing="0" w:line="360" w:lineRule="auto"/>
        <w:ind w:firstLine="420"/>
        <w:rPr>
          <w:sz w:val="21"/>
          <w:szCs w:val="21"/>
        </w:rPr>
      </w:pPr>
      <w:r>
        <w:rPr>
          <w:rFonts w:hint="eastAsia"/>
          <w:sz w:val="21"/>
          <w:szCs w:val="21"/>
        </w:rPr>
        <w:t>净赎回金额＝106,000.00-0＝106,000.00</w:t>
      </w:r>
      <w:r>
        <w:rPr>
          <w:sz w:val="21"/>
          <w:szCs w:val="21"/>
        </w:rPr>
        <w:t xml:space="preserve"> </w:t>
      </w:r>
      <w:r>
        <w:rPr>
          <w:rFonts w:hint="eastAsia"/>
          <w:sz w:val="21"/>
          <w:szCs w:val="21"/>
        </w:rPr>
        <w:t xml:space="preserve">(元)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即：投资者赎回本基金10万份A类基金份额，持有时间为1年，假设赎回当日A类基金份额净值是1.0600元，则其可得到的赎回金额为106,000.00元。 </w:t>
      </w:r>
    </w:p>
    <w:p w:rsidR="002C1A0C" w:rsidRDefault="00864859">
      <w:pPr>
        <w:pStyle w:val="a5"/>
        <w:spacing w:before="0" w:beforeAutospacing="0" w:after="0" w:afterAutospacing="0" w:line="360" w:lineRule="auto"/>
        <w:ind w:firstLine="420"/>
        <w:rPr>
          <w:sz w:val="21"/>
          <w:szCs w:val="21"/>
        </w:rPr>
      </w:pPr>
      <w:r>
        <w:rPr>
          <w:sz w:val="21"/>
          <w:szCs w:val="21"/>
        </w:rPr>
        <w:t xml:space="preserve"> </w:t>
      </w:r>
      <w:r>
        <w:rPr>
          <w:rFonts w:hint="eastAsia"/>
          <w:sz w:val="21"/>
          <w:szCs w:val="21"/>
        </w:rPr>
        <w:t xml:space="preserve">例4：假设某投资者赎回C类基金份额100,000份，持有时间为1年，则对应的赎回费率为0，假设赎回当日C类基金份额净值是1.0600元，则可得到的赎回金额为： </w:t>
      </w:r>
    </w:p>
    <w:p w:rsidR="002C1A0C" w:rsidRDefault="00864859">
      <w:pPr>
        <w:pStyle w:val="a5"/>
        <w:spacing w:before="0" w:beforeAutospacing="0" w:after="0" w:afterAutospacing="0" w:line="360" w:lineRule="auto"/>
        <w:ind w:firstLine="420"/>
        <w:rPr>
          <w:sz w:val="21"/>
          <w:szCs w:val="21"/>
        </w:rPr>
      </w:pPr>
      <w:r>
        <w:rPr>
          <w:sz w:val="21"/>
          <w:szCs w:val="21"/>
        </w:rPr>
        <w:t xml:space="preserve"> </w:t>
      </w:r>
      <w:r>
        <w:rPr>
          <w:rFonts w:hint="eastAsia"/>
          <w:sz w:val="21"/>
          <w:szCs w:val="21"/>
        </w:rPr>
        <w:t xml:space="preserve">赎回金额＝100,000×1.0600＝106,000.00(元) </w:t>
      </w:r>
    </w:p>
    <w:p w:rsidR="002C1A0C" w:rsidRDefault="00864859">
      <w:pPr>
        <w:pStyle w:val="a5"/>
        <w:spacing w:before="0" w:beforeAutospacing="0" w:after="0" w:afterAutospacing="0" w:line="360" w:lineRule="auto"/>
        <w:ind w:firstLine="420"/>
        <w:rPr>
          <w:sz w:val="21"/>
          <w:szCs w:val="21"/>
        </w:rPr>
      </w:pPr>
      <w:r>
        <w:rPr>
          <w:sz w:val="21"/>
          <w:szCs w:val="21"/>
        </w:rPr>
        <w:t xml:space="preserve"> </w:t>
      </w:r>
      <w:r>
        <w:rPr>
          <w:rFonts w:hint="eastAsia"/>
          <w:sz w:val="21"/>
          <w:szCs w:val="21"/>
        </w:rPr>
        <w:t>赎回费用＝100,000×1.0600×0＝0</w:t>
      </w:r>
      <w:r>
        <w:rPr>
          <w:sz w:val="21"/>
          <w:szCs w:val="21"/>
        </w:rPr>
        <w:t xml:space="preserve"> </w:t>
      </w:r>
      <w:r>
        <w:rPr>
          <w:rFonts w:hint="eastAsia"/>
          <w:sz w:val="21"/>
          <w:szCs w:val="21"/>
        </w:rPr>
        <w:t xml:space="preserve">(元) </w:t>
      </w:r>
    </w:p>
    <w:p w:rsidR="002C1A0C" w:rsidRDefault="00864859">
      <w:pPr>
        <w:pStyle w:val="a5"/>
        <w:spacing w:before="0" w:beforeAutospacing="0" w:after="0" w:afterAutospacing="0" w:line="360" w:lineRule="auto"/>
        <w:ind w:firstLine="420"/>
        <w:rPr>
          <w:sz w:val="21"/>
          <w:szCs w:val="21"/>
        </w:rPr>
      </w:pPr>
      <w:r>
        <w:rPr>
          <w:rFonts w:hint="eastAsia"/>
          <w:sz w:val="21"/>
          <w:szCs w:val="21"/>
        </w:rPr>
        <w:t>净赎回金额＝106,000.00-0＝106,000.00</w:t>
      </w:r>
      <w:r>
        <w:rPr>
          <w:sz w:val="21"/>
          <w:szCs w:val="21"/>
        </w:rPr>
        <w:t xml:space="preserve"> </w:t>
      </w:r>
      <w:r>
        <w:rPr>
          <w:rFonts w:hint="eastAsia"/>
          <w:sz w:val="21"/>
          <w:szCs w:val="21"/>
        </w:rPr>
        <w:t xml:space="preserve">(元) </w:t>
      </w:r>
    </w:p>
    <w:p w:rsidR="002C1A0C" w:rsidRDefault="00864859">
      <w:pPr>
        <w:pStyle w:val="a5"/>
        <w:spacing w:before="0" w:beforeAutospacing="0" w:after="0" w:afterAutospacing="0" w:line="360" w:lineRule="auto"/>
        <w:ind w:firstLine="420"/>
        <w:rPr>
          <w:sz w:val="21"/>
          <w:szCs w:val="21"/>
        </w:rPr>
      </w:pPr>
      <w:r>
        <w:rPr>
          <w:sz w:val="21"/>
          <w:szCs w:val="21"/>
        </w:rPr>
        <w:t xml:space="preserve"> </w:t>
      </w:r>
      <w:r>
        <w:rPr>
          <w:rFonts w:hint="eastAsia"/>
          <w:sz w:val="21"/>
          <w:szCs w:val="21"/>
        </w:rPr>
        <w:t xml:space="preserve">即：投资者赎回本基金10万份C类基金份额，持有时间为1年，假设赎回当日C类基金份额净值是1.0600元，则其可得到的赎回金额为106,000.00元。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3、基金份额净值的计算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各类基金份额净值的计算，保留到小数点后4位，小数点后第5位四舍五入，由此产生的收益或损失由基金财产承担。T日的各类基金份额净值在当天收市后计算，并按照基金合同的约定公告。遇特殊情况，经中国证监会同意，可以适当延迟计算或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的申购、赎回费率。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5、当本基金各类基金份额发生大额申购或赎回情形时，基金管理人可以采用摆动定价机制以确保基金估值的公平性。具体处理原则与操作规范遵循相关法律法规以及监管部门、自律规则的规定。 </w:t>
      </w:r>
    </w:p>
    <w:p w:rsidR="002C1A0C" w:rsidRDefault="00864859">
      <w:pPr>
        <w:pStyle w:val="a5"/>
        <w:spacing w:before="0" w:beforeAutospacing="0" w:after="0" w:afterAutospacing="0" w:line="360" w:lineRule="auto"/>
        <w:ind w:firstLine="420"/>
        <w:rPr>
          <w:sz w:val="21"/>
          <w:szCs w:val="21"/>
        </w:rPr>
      </w:pPr>
      <w:r>
        <w:rPr>
          <w:rFonts w:hint="eastAsia"/>
          <w:b/>
          <w:bCs/>
          <w:sz w:val="21"/>
          <w:szCs w:val="21"/>
        </w:rPr>
        <w:t>八、申购与赎回的登记</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1、经基金销售机构同意，基金投资者提出的申购和赎回申请，在基金管理人规定的时间之前可以撤销。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2、投资者申购基金成功后，登记机构在T＋1日为投资者登记权益并办理登记手续，投资者自T＋2日（含该日）后有权赎回该部分基金份额。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3、投资者赎回基金成功后，登记机构在T＋1日为投资者办理扣除权益的登记手续。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4、基金管理人可以在法律法规允许的范围内，对上述登记办理时间进行调整，但不得实质影响投资者的合法权益，并最迟于开始实施前依照《信息披露办法》的有关规定在指定媒介公告。 </w:t>
      </w:r>
    </w:p>
    <w:p w:rsidR="002C1A0C" w:rsidRDefault="00864859">
      <w:pPr>
        <w:pStyle w:val="a5"/>
        <w:spacing w:before="0" w:beforeAutospacing="0" w:after="0" w:afterAutospacing="0" w:line="360" w:lineRule="auto"/>
        <w:ind w:firstLine="420"/>
        <w:rPr>
          <w:sz w:val="21"/>
          <w:szCs w:val="21"/>
        </w:rPr>
      </w:pPr>
      <w:r>
        <w:rPr>
          <w:rFonts w:hint="eastAsia"/>
          <w:b/>
          <w:bCs/>
          <w:sz w:val="21"/>
          <w:szCs w:val="21"/>
        </w:rPr>
        <w:t>九、拒绝或暂停申购的情形及处理</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发生下列情况时，基金管理人可拒绝或暂停接受投资人的申购申请：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1、因不可抗力导致基金无法正常运作。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2、发生基金合同规定的暂停基金资产估值情况时，基金管理人可暂停接受投资人的申购申请。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4、基金管理人接受某笔或某些申购申请会损害现有基金份额持有人利益或对存量基金份额持有人利益构成潜在重大不利影响时。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6、基金管理人、基金托管人、销售机构或登记机构的技术故障等异常情况导致基金销售系统、基金登记系统或基金会计系统无法正常运行。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7、接受某一投资者申购申请后导致其份额超过基金总份额50%以上的。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8、申请超过基金管理人设定的基金总规模、单日净申购比例上限、单一投资者单日或单笔申购金额上限的。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9、当前一估值日基金资产净值50%以上的资产出现无可参考的活跃市场价格且采用估值技术仍导致公允价值存在重大不确定性时，经与基金托管人协商确认后，基金管理人应当采取暂停接受基金申购申请的措施。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10、法律法规规定或中国证监会认定的其他情形。 </w:t>
      </w:r>
    </w:p>
    <w:p w:rsidR="002C1A0C" w:rsidRDefault="00864859">
      <w:pPr>
        <w:pStyle w:val="a5"/>
        <w:spacing w:before="0" w:beforeAutospacing="0" w:after="0" w:afterAutospacing="0" w:line="360" w:lineRule="auto"/>
        <w:ind w:firstLine="420"/>
        <w:rPr>
          <w:sz w:val="21"/>
          <w:szCs w:val="21"/>
        </w:rPr>
      </w:pPr>
      <w:r>
        <w:rPr>
          <w:rFonts w:hint="eastAsia"/>
          <w:sz w:val="21"/>
          <w:szCs w:val="21"/>
        </w:rPr>
        <w:t>发生上述第1、2、3、5、6、9、10项暂停申购情形之一且基金管理人决定暂停接受投资人的申购申请时，基金管理人应当根据有关规定在指定媒介上刊登暂停申购公告。如果投资人的申购申请全部或部分被拒绝的，被拒绝的申购款项将退还给投资人。在暂停申购的情</w:t>
      </w:r>
      <w:r>
        <w:rPr>
          <w:rFonts w:hint="eastAsia"/>
          <w:sz w:val="21"/>
          <w:szCs w:val="21"/>
        </w:rPr>
        <w:lastRenderedPageBreak/>
        <w:t xml:space="preserve">况消除时，基金管理人应及时恢复申购业务的办理，且开放期时间将相应顺延，基金管理人有权合理调整申购业务的办理期间并予以公告。 </w:t>
      </w:r>
    </w:p>
    <w:p w:rsidR="002C1A0C" w:rsidRDefault="00864859">
      <w:pPr>
        <w:pStyle w:val="a5"/>
        <w:spacing w:before="0" w:beforeAutospacing="0" w:after="0" w:afterAutospacing="0" w:line="360" w:lineRule="auto"/>
        <w:ind w:firstLine="420"/>
        <w:rPr>
          <w:sz w:val="21"/>
          <w:szCs w:val="21"/>
        </w:rPr>
      </w:pPr>
      <w:r>
        <w:rPr>
          <w:rFonts w:hint="eastAsia"/>
          <w:b/>
          <w:bCs/>
          <w:sz w:val="21"/>
          <w:szCs w:val="21"/>
        </w:rPr>
        <w:t>十、暂停赎回或延缓支付赎回款项的情形及处理</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发生下列情形时，基金管理人可暂停接受投资人的赎回申请或延缓支付赎回款项：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1、因不可抗力导致基金管理人不能支付赎回款项。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2、发生基金合同规定的暂停基金资产估值情况时，基金管理人可暂停接受投资人的赎回申请或延缓支付赎回款项。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3、证券、期货交易所交易时间非正常停市，导致基金管理人无法计算当日基金资产净值。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4、继续接受赎回申请将损害现有基金份额持有人利益的情形时，可暂停接受投资人的赎回申请。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当前一估值日基金资产净值50%以上的资产出现无可参考的活跃市场价格且采用估值技术仍导致公允价值存在重大不确定性时，经与基金托管人协商确认后，基金管理人应当采取延缓支付赎回款项或暂停接受基金赎回申请的措施。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6、法律法规规定或中国证监会认定的其他情形。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发生上述情形之一且基金管理人决定拒绝接受或暂停接受基金份额持有人的赎回申请时，基金管理人应按规定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且开放期时间将相应顺延，基金管理人有权合理调整赎回业务的办理期间并予以公告 </w:t>
      </w:r>
    </w:p>
    <w:p w:rsidR="002C1A0C" w:rsidRDefault="00864859">
      <w:pPr>
        <w:pStyle w:val="a5"/>
        <w:spacing w:before="0" w:beforeAutospacing="0" w:after="0" w:afterAutospacing="0" w:line="360" w:lineRule="auto"/>
        <w:ind w:firstLine="420"/>
        <w:rPr>
          <w:sz w:val="21"/>
          <w:szCs w:val="21"/>
        </w:rPr>
      </w:pPr>
      <w:r>
        <w:rPr>
          <w:rFonts w:hint="eastAsia"/>
          <w:b/>
          <w:bCs/>
          <w:sz w:val="21"/>
          <w:szCs w:val="21"/>
        </w:rPr>
        <w:t>十一、巨额赎回的情形及处理方式</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1、巨额赎回的认定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若本基金单个开放日内的基金份额净赎回申请(赎回申请份额总数加上基金转换中转出申请份额总数后扣除申购申请份额总数及基金转换中转入申请份额总数后的余额)超过前一工作日的基金总份额的</w:t>
      </w:r>
      <w:bookmarkStart w:id="104" w:name="field_49_mintredeemscale_2"/>
      <w:r>
        <w:rPr>
          <w:sz w:val="21"/>
          <w:szCs w:val="21"/>
        </w:rPr>
        <w:t>20</w:t>
      </w:r>
      <w:bookmarkEnd w:id="104"/>
      <w:r>
        <w:rPr>
          <w:rFonts w:hint="eastAsia"/>
          <w:sz w:val="21"/>
          <w:szCs w:val="21"/>
        </w:rPr>
        <w:t xml:space="preserve">%，即认为是发生了巨额赎回。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2、巨额赎回的处理方式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当基金出现巨额赎回时，基金管理人可以根据基金当时的资产组合状况决定全额赎回、延缓支付赎回款项或者部分延期赎回。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（1）全额赎回：当基金管理人认为有能力支付投资人的全部赎回申请时，按正常赎回程序执行。 </w:t>
      </w:r>
    </w:p>
    <w:p w:rsidR="002C1A0C" w:rsidRDefault="00864859">
      <w:pPr>
        <w:pStyle w:val="a5"/>
        <w:spacing w:before="0" w:beforeAutospacing="0" w:after="0" w:afterAutospacing="0" w:line="360" w:lineRule="auto"/>
        <w:ind w:firstLine="420"/>
        <w:rPr>
          <w:sz w:val="21"/>
          <w:szCs w:val="21"/>
        </w:rPr>
      </w:pPr>
      <w:r>
        <w:rPr>
          <w:rFonts w:hint="eastAsia"/>
          <w:sz w:val="21"/>
          <w:szCs w:val="21"/>
        </w:rPr>
        <w:t>（2）延缓支付赎回款项：在发生巨额赎回且不存在单一持有人赎回申请超过上一日基金总份额</w:t>
      </w:r>
      <w:bookmarkStart w:id="105" w:name="field_49_mintredeemscale_3"/>
      <w:r>
        <w:rPr>
          <w:sz w:val="21"/>
          <w:szCs w:val="21"/>
        </w:rPr>
        <w:t>20</w:t>
      </w:r>
      <w:bookmarkEnd w:id="105"/>
      <w:r>
        <w:rPr>
          <w:rFonts w:hint="eastAsia"/>
          <w:sz w:val="21"/>
          <w:szCs w:val="21"/>
        </w:rPr>
        <w:t xml:space="preserve">%的情况下，基金管理人可以根据第（1）项办理，亦可在对符合法律法规及基金合同约定的赎回申请全部接受和确认的基础上，采取延缓支付赎回款项的措施。即对于已接受的赎回申请，当基金管理人认为支付投资人的赎回款项有困难或认为因支付投资人的赎回款项而进行的财产变现可能会对基金资产净值造成较大波动时，可以对部分赎回申请延缓支付赎回款项，但延缓支付的期限最长不超过20个工作日。延缓支付的赎回申请以赎回申请当日的基金份额净值为基础计算赎回金额。 </w:t>
      </w:r>
    </w:p>
    <w:p w:rsidR="002C1A0C" w:rsidRDefault="00864859">
      <w:pPr>
        <w:pStyle w:val="a5"/>
        <w:spacing w:before="0" w:beforeAutospacing="0" w:after="0" w:afterAutospacing="0" w:line="360" w:lineRule="auto"/>
        <w:ind w:firstLine="420"/>
        <w:rPr>
          <w:sz w:val="21"/>
          <w:szCs w:val="21"/>
        </w:rPr>
      </w:pPr>
      <w:r>
        <w:rPr>
          <w:rFonts w:hint="eastAsia"/>
          <w:sz w:val="21"/>
          <w:szCs w:val="21"/>
        </w:rPr>
        <w:t>（3）部分延期赎回：开放期内，如果发生巨额赎回且单一持有人赎回申请超过上一日基金总份额</w:t>
      </w:r>
      <w:bookmarkStart w:id="106" w:name="field_49_mintredeemscale_4"/>
      <w:r>
        <w:rPr>
          <w:sz w:val="21"/>
          <w:szCs w:val="21"/>
        </w:rPr>
        <w:t>20</w:t>
      </w:r>
      <w:bookmarkEnd w:id="106"/>
      <w:r>
        <w:rPr>
          <w:rFonts w:hint="eastAsia"/>
          <w:sz w:val="21"/>
          <w:szCs w:val="21"/>
        </w:rPr>
        <w:t>%的情况下，基金管理人可以延期办理赎回申请。在上述情况下，对于单个基金份额持有人当日赎回申请超过上一日基金总份额</w:t>
      </w:r>
      <w:bookmarkStart w:id="107" w:name="field_49_mintredeemscale_5"/>
      <w:r>
        <w:rPr>
          <w:sz w:val="21"/>
          <w:szCs w:val="21"/>
        </w:rPr>
        <w:t>20</w:t>
      </w:r>
      <w:bookmarkEnd w:id="107"/>
      <w:r>
        <w:rPr>
          <w:rFonts w:hint="eastAsia"/>
          <w:sz w:val="21"/>
          <w:szCs w:val="21"/>
        </w:rPr>
        <w:t xml:space="preserve">%的部分，基金管理人可以进行延期办理。对于此类持有人剩余部分申请以及其他持有人的赎回申请，应当按上述第（1）、（2）项规则办理。对于上述持有人被延期办理的部分，如投资人在提交赎回申请时选择取消赎回的，当日未获办理部分将被撤销；如投资人在提交赎回申请时选择延期赎回或未作明确选择的，将自动转入下一个开放日继续赎回直至办理完毕，因此导致延期办理期限超过开放期的，开放期相应延长并公告，延长的开放期内不办理申购亦不接受新的赎回申请。延期的赎回申请与下一开放日赎回申请一并处理，无优先权并以下一开放日某一类别的基金份额净值为基础计算赎回金额，以此类推。部分延期赎回不受单笔赎回最低份额的限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3、巨额赎回的公告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当发生上述巨额赎回并延缓支付赎回款项的情形时，基金管理人应当通过邮寄、传真或者招募说明书规定的其他方式在3个交易日内通知基金份额持有人，说明有关处理方法，并在2日内在指定媒介上刊登公告。 </w:t>
      </w:r>
    </w:p>
    <w:p w:rsidR="002C1A0C" w:rsidRDefault="00864859">
      <w:pPr>
        <w:pStyle w:val="a5"/>
        <w:spacing w:before="0" w:beforeAutospacing="0" w:after="0" w:afterAutospacing="0" w:line="360" w:lineRule="auto"/>
        <w:ind w:firstLine="420"/>
        <w:rPr>
          <w:sz w:val="21"/>
          <w:szCs w:val="21"/>
        </w:rPr>
      </w:pPr>
      <w:r>
        <w:rPr>
          <w:rFonts w:hint="eastAsia"/>
          <w:b/>
          <w:bCs/>
          <w:sz w:val="21"/>
          <w:szCs w:val="21"/>
        </w:rPr>
        <w:t>十二、暂停申购或赎回的公告和重新开放申购或赎回的公告</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1、发生上述暂停申购或赎回情况的，基金管理人应在规定期限内在指定媒介上刊登暂停公告。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3、上述暂停申购或赎回情况消除的，基金管理人应于重新开放日公布最近1个工作日</w:t>
      </w:r>
      <w:bookmarkStart w:id="108" w:name="chapter_level1_10_59_section_3_end"/>
      <w:bookmarkEnd w:id="108"/>
      <w:r>
        <w:rPr>
          <w:rFonts w:hint="eastAsia"/>
          <w:sz w:val="21"/>
          <w:szCs w:val="21"/>
        </w:rPr>
        <w:t xml:space="preserve">的基金份额净值。 </w:t>
      </w:r>
    </w:p>
    <w:p w:rsidR="002C1A0C" w:rsidRDefault="00864859">
      <w:pPr>
        <w:pStyle w:val="a5"/>
        <w:spacing w:before="0" w:beforeAutospacing="0" w:after="0" w:afterAutospacing="0" w:line="360" w:lineRule="auto"/>
        <w:ind w:firstLine="420"/>
        <w:rPr>
          <w:sz w:val="21"/>
          <w:szCs w:val="21"/>
        </w:rPr>
      </w:pPr>
      <w:bookmarkStart w:id="109" w:name="chapter_level1_10_59_section_4"/>
      <w:bookmarkEnd w:id="109"/>
      <w:r>
        <w:rPr>
          <w:rStyle w:val="a7"/>
          <w:rFonts w:hint="eastAsia"/>
          <w:sz w:val="21"/>
          <w:szCs w:val="21"/>
        </w:rPr>
        <w:t>十三、基金转换</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基金管理人可以根据相关法律法规以及基金合同的规定决定开办本基金与基金管理人管理的其他基金之间的转换业务，基金转换可以收取一定的转换费，相关规则由基金管理人</w:t>
      </w:r>
      <w:bookmarkStart w:id="110" w:name="chapter_level1_10_59_section_4_end"/>
      <w:bookmarkEnd w:id="110"/>
      <w:r>
        <w:rPr>
          <w:rFonts w:hint="eastAsia"/>
          <w:sz w:val="21"/>
          <w:szCs w:val="21"/>
        </w:rPr>
        <w:t xml:space="preserve">届时根据相关法律法规及基金合同的规定制定并公告，并提前告知基金托管人与相关机构。 </w:t>
      </w:r>
    </w:p>
    <w:p w:rsidR="002C1A0C" w:rsidRDefault="00864859">
      <w:pPr>
        <w:pStyle w:val="a5"/>
        <w:spacing w:before="0" w:beforeAutospacing="0" w:after="0" w:afterAutospacing="0" w:line="360" w:lineRule="auto"/>
        <w:ind w:firstLine="420"/>
        <w:rPr>
          <w:sz w:val="21"/>
          <w:szCs w:val="21"/>
        </w:rPr>
      </w:pPr>
      <w:bookmarkStart w:id="111" w:name="chapter_level1_10_59_section_5"/>
      <w:bookmarkEnd w:id="111"/>
      <w:r>
        <w:rPr>
          <w:rStyle w:val="a7"/>
          <w:rFonts w:hint="eastAsia"/>
          <w:sz w:val="21"/>
          <w:szCs w:val="21"/>
        </w:rPr>
        <w:t>十四、基金份额的转让</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十五、基金的非交易过户</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十六、基金的转托管</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基金份额持有人可办理已持有基金份额在不同销售机构之间的转托管，基金销售机构可</w:t>
      </w:r>
      <w:bookmarkStart w:id="112" w:name="chapter_level1_10_59_section_5_end"/>
      <w:bookmarkEnd w:id="112"/>
      <w:r>
        <w:rPr>
          <w:rFonts w:hint="eastAsia"/>
          <w:sz w:val="21"/>
          <w:szCs w:val="21"/>
        </w:rPr>
        <w:t xml:space="preserve">以按照规定的标准收取转托管费。 </w:t>
      </w:r>
    </w:p>
    <w:p w:rsidR="002C1A0C" w:rsidRDefault="00864859">
      <w:pPr>
        <w:pStyle w:val="a5"/>
        <w:spacing w:before="0" w:beforeAutospacing="0" w:after="0" w:afterAutospacing="0" w:line="360" w:lineRule="auto"/>
        <w:ind w:firstLine="420"/>
        <w:rPr>
          <w:sz w:val="21"/>
          <w:szCs w:val="21"/>
        </w:rPr>
      </w:pPr>
      <w:bookmarkStart w:id="113" w:name="chapter_level1_10_59_section_6"/>
      <w:bookmarkEnd w:id="113"/>
      <w:r>
        <w:rPr>
          <w:rStyle w:val="a7"/>
          <w:rFonts w:hint="eastAsia"/>
          <w:sz w:val="21"/>
          <w:szCs w:val="21"/>
        </w:rPr>
        <w:t>十七、定期定额投资计划</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基金管理人可以为投资人办理定期定额投资计划，具体规则由基金管理人另行规定。投资人在办理定期定额投资计划时可自行约定每期扣款金额，每期扣款金额必须不低于基金管</w:t>
      </w:r>
      <w:bookmarkStart w:id="114" w:name="chapter_level1_10_59_section_6_end"/>
      <w:bookmarkEnd w:id="114"/>
      <w:r>
        <w:rPr>
          <w:rFonts w:hint="eastAsia"/>
          <w:sz w:val="21"/>
          <w:szCs w:val="21"/>
        </w:rPr>
        <w:t xml:space="preserve">理人在相关公告或更新的招募说明书中所规定的定期定额投资计划最低申购金额。 </w:t>
      </w:r>
    </w:p>
    <w:p w:rsidR="002C1A0C" w:rsidRDefault="00864859">
      <w:pPr>
        <w:pStyle w:val="a5"/>
        <w:spacing w:before="0" w:beforeAutospacing="0" w:after="0" w:afterAutospacing="0" w:line="360" w:lineRule="auto"/>
        <w:ind w:firstLine="420"/>
        <w:rPr>
          <w:sz w:val="21"/>
          <w:szCs w:val="21"/>
        </w:rPr>
      </w:pPr>
      <w:bookmarkStart w:id="115" w:name="chapter_level1_10_59_section_7"/>
      <w:bookmarkEnd w:id="115"/>
      <w:r>
        <w:rPr>
          <w:rStyle w:val="a7"/>
          <w:rFonts w:hint="eastAsia"/>
          <w:sz w:val="21"/>
          <w:szCs w:val="21"/>
        </w:rPr>
        <w:t>十八、基金份额的冻结、解冻与质押等基金业务</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基金登记机构只受理国家有权机关依法要求的基金份额的冻结与解冻，以及登记机构认可、符合法律法规的其他情况下的冻结与解冻。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如相关法律法规允许基金管理人办理基金份额的质押业务或其他基金业务，基金管理人</w:t>
      </w:r>
      <w:bookmarkStart w:id="116" w:name="chapter_level1_10_59_section_7_end"/>
      <w:bookmarkEnd w:id="116"/>
      <w:r>
        <w:rPr>
          <w:rFonts w:hint="eastAsia"/>
          <w:sz w:val="21"/>
          <w:szCs w:val="21"/>
        </w:rPr>
        <w:t xml:space="preserve">将制定和实施相应的业务规则。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17" w:name="chapter_level1_11_60"/>
      <w:bookmarkStart w:id="118" w:name="_Toc27511770"/>
      <w:r>
        <w:rPr>
          <w:rFonts w:ascii="宋体" w:eastAsia="宋体" w:hAnsi="宋体" w:hint="eastAsia"/>
          <w:sz w:val="30"/>
        </w:rPr>
        <w:lastRenderedPageBreak/>
        <w:t>第八部分  基金的投资</w:t>
      </w:r>
      <w:bookmarkEnd w:id="117"/>
      <w:bookmarkEnd w:id="118"/>
    </w:p>
    <w:p w:rsidR="002C1A0C" w:rsidRDefault="00864859">
      <w:pPr>
        <w:pStyle w:val="a5"/>
        <w:spacing w:before="0" w:beforeAutospacing="0" w:after="0" w:afterAutospacing="0" w:line="360" w:lineRule="auto"/>
        <w:ind w:firstLine="420"/>
        <w:rPr>
          <w:sz w:val="21"/>
          <w:szCs w:val="21"/>
        </w:rPr>
      </w:pPr>
      <w:bookmarkStart w:id="119" w:name="chapter_level1_11_60_section_1"/>
      <w:bookmarkEnd w:id="119"/>
      <w:r>
        <w:rPr>
          <w:rStyle w:val="a7"/>
          <w:rFonts w:hint="eastAsia"/>
          <w:sz w:val="21"/>
          <w:szCs w:val="21"/>
        </w:rPr>
        <w:t>一、投资目标</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120" w:name="field_60_investmenttarget_1_start"/>
      <w:bookmarkEnd w:id="120"/>
      <w:r>
        <w:rPr>
          <w:rFonts w:hint="eastAsia"/>
          <w:sz w:val="21"/>
          <w:szCs w:val="21"/>
        </w:rPr>
        <w:t xml:space="preserve">本基金坚持价值投资理念，充分发挥专业研究与精选个股能力，以绝对收益为核心投资目标，力争组合资产实现长期稳健的增值。 </w:t>
      </w:r>
      <w:bookmarkStart w:id="121" w:name="field_60_investmenttarget_1_end"/>
      <w:bookmarkEnd w:id="121"/>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二、投资范围</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122" w:name="field_60_investmentrange_1_start"/>
      <w:bookmarkEnd w:id="122"/>
      <w:r>
        <w:rPr>
          <w:rFonts w:hint="eastAsia"/>
          <w:sz w:val="21"/>
          <w:szCs w:val="21"/>
        </w:rPr>
        <w:t xml:space="preserve">本基金的投资范围主要为具有良好流动性的金融工具，包括国内依法发行上市的股票（包括中小板、创业板及其他经中国证监会核准上市的股票）、沪/深港股票市场交易互联互通机制下允许投资的香港联合交易所上市的股票（以下简称“港股通标的股票”）、债券（包括国债、金融债、企业债、公司债、央行票据、中期票据、短期融资券、可转换债券（含可分离交易可转换债券）、可交换债、次级债、中小企业私募债等）、货币市场工具、同业存单、权证、股指期货、国债期货、资产支持证券以及法律法规或中国证监会允许基金投资的其他金融工具（但须符合中国证监会的相关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的投资组合比例为：在开放期内，本基金的股票资产投资比例为0%-95%，港股通标的股票的投资比例为股票资产的0%-50%；每个交易日日终在扣除股指期货合约、国债期货合约所需缴纳的交易保证金后，现金或到期日在一年以内的政府债券不低于基金资产净值的5%。在封闭期内，本基金的股票资产投资比例为30%-100%，港股通标的股票的投资比例为股票资产的0%-50%，每个交易日日终在扣除股指期货合约、国债期货合约需缴纳的交易保证金后，应当保持不低于交易保证金一倍的现金。权证投资比例不得超过基金资产净值的3%。前述现金不包括结算备付金、存出保证金、应收申购款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如法律法规或监管机构以后允许基金投资的其他品种，基金管理人在履行适当程序后，可以将其纳入投资范围。 </w:t>
      </w:r>
      <w:bookmarkStart w:id="123" w:name="field_60_investmentrange_1_end"/>
      <w:bookmarkEnd w:id="123"/>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三、投资策略</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124" w:name="field_60_investmentstrategy_1_start"/>
      <w:bookmarkEnd w:id="124"/>
      <w:r>
        <w:rPr>
          <w:rFonts w:hint="eastAsia"/>
          <w:sz w:val="21"/>
          <w:szCs w:val="21"/>
        </w:rPr>
        <w:t xml:space="preserve">（一）封闭期投资策略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1、资产配置策略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本基金资产配置不仅考虑宏观基本面的影响因素同时考虑市场情绪、同业基金仓位水平的影响，并根据市场情况作出应对措施。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资产配置层面重在对系统性风险的规避。本基金将基于既定的投资策略，充分衡量风险收益比后作出投资决策。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2、债券投资策略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本基金采用的债券投资策略包括：期限结构策略、信用策略、互换策略、息差策略、可转换债券投资策略等。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（1）期限结构策略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通过预测收益率曲线的形状和变化趋势，对各类型债券进行久期配置。具体策略又分为跟踪收益率曲线的骑乘策略和基于收益率曲线变化的子弹策略、杠铃策略及梯式策略。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（2）信用策略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信用债收益率等于基准收益率加信用利差，信用利差收益主要受两个方面的影响，一是该信用债对应信用水平的市场平均信用利差曲线走势；二是该信用债本身的信用变化。基于这两方面的因素，本基金管理人分别采用（1）基于信用利差曲线变化策略和（2）基于信用债信用变化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（3）互换策略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不同券种在利息、违约风险、久期、流动性、税收和衍生条款等方面存在差别，基金管理人可以同时买入和卖出具有相近特性的两个或两个以上券种，赚取收益级差。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（4）息差策略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通过正回购，融资买入收益率高于回购成本的债券，从而获得杠杆放大收益。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（5）可转换债券投资策略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利用宏观经济变化和上市公司的盈利变化，判断市场的变化趋势，选择不同的行业，再根据可转换债券的特性选择各行业不同的转债券种。本基金利用可转换债券的债券底价和到期收益率来判断转债的债性，增强本金投资的相对安全性；利用可转换债券溢价率来判断转债的股性，在市场出现投资机会时，优先选择股性强的品种，获取超额收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3、股票投资策略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本基金将以价值投资理念为基础，结合定量、定性分析，考察和筛选具有综合性比较优势的个股，建立本基金的初选股票池。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在股票投资上，本基金将在符合经济发展规律、有政策驱动的、推动经济结构转型的新的增长点和产业中，以自下而上的个股选择为主，重点关注公司以及所属产业的成长性与商业模式。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（1）行业选择与配置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行业的选择与配置方面，重点关注三个问题：经济运行所处的周期、产业运行周期、行业成长空间。顺应经济结构转型的变化，寻找推动经济增长的新的驱动力，重点关注行业所处的成长周期，行业的增速以及未来的空间。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（2）竞争力分析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就公司竞争策略，基于行业分析的结果判断策略的有效性、策略的实施支持和策略的执行成果；就核心竞争力，分析公司的现有竞争优势，并判断公司能否利用现有的资源、能力和定位取得可持续竞争优势。本基金强调通过核心竞争力判断上市公司未来盈利增长的潜力。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（3）管理层分析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在国内监管体系落后、公司外部治理结构不完善的基础上，上市公司的命运对管理团队的稳定性及其能力的依赖度大大增加。由此，基金管理人在投资分析中尤其强调对管理层的经营纪录以及管理制度的考查。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（4）财务指标分析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在财务预测的基础上，对公司盈利增长的持续性、回报率相对于资本成本的差异和公司的财务稳健性进行判断。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（5）估值比较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通过对估值方法的选择和估值倍数的比较，选择股价相对低估的股票。就估值方法而言，基于行业的特点确定对股价最有影响力的关键估值方法；就估值倍数而言，通过业内比较、历史比较和增长性分析，确定具有上升基础的股价水平。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（6）交易策略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通过详实的基础研究以及后续追踪，合理确定投资标的交易价格区间，减少交易的随机性。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（7）港股投资策略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本基金将充分挖掘内地与香港股票市场交易互联互通、资金双向流动机制下A股市场和港股市场的投资机会。具体投资策略如下：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第一，通过自主开发的针对港股的以基本面因子为主导的多因子量化模型，以港股通标的为选股池，根据市场流动性和产品规模等实际需求选择因子打分高的标的构建港股通量化优选组合。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第二，对于两地同时上市的公司，考察其折溢价水平，寻找相对于A股有异常折价或估值和波动性相对于A股更加稳定的H股标的。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第三，考察港股通股票的行业属性和商业模式，在A股暂时无相应标的的行业中寻找估值低且具有成长性的标的。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本基金将持续追踪A股市场和港股市场的相对估值和市场情况，适时调整组合中港股通的投资比例。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4、金融衍生品投资策略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（1）权证投资策略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权证为本基金辅助性投资工具，投资原则为有利于基金资产增值、控制下跌风险。本基金在权证投资方面将以价值分析为基础，在采用数量化模型分析其合理定价的基础上，立足于无风险套利，力求稳健的投资收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（2）股指期货、国债期货投资策略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本基金将根据风险管理的原则，以套期保值为目的，在风险可控的前提下，本着谨慎原则，参与股指期货、国债期货的投资，以管理投资组合的系统性风险，改善组合的风险收益特性。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5、资产支持证券投资策略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本基金将通过对资产支持证券基础资产及结构设计的研究，结合多种定价模型，根据基金资产组合情况适度进行资产支持证券的投资。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未来随着证券市场投资工具的发展和丰富，在符合有关法律法规规定的前提下，本基金可相应调整和更新相关投资策略。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6、中小企业私募债投资策略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针对中小企业私募债券，本基金以持有到期，获得本金和票息收入为主要投资策略，同时，密切关注债券的信用风险变化，力争在控制风险的前提下，获得较高收益。本基金投资中小企业私募债，基金管理人将根据审慎原则，制定严格的投资决策流程、风险控制制度和信用风险、流动性风险处置预案，并经董事会批准，以防范信用风险、流动性风险等各种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（二）开放期投资策略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开放期内，本基金为保持较高的组合流动性，方便投资人安排投资，在遵守本基金有关</w:t>
      </w:r>
      <w:bookmarkStart w:id="125" w:name="chapter_level1_11_60_section_1_end"/>
      <w:bookmarkEnd w:id="125"/>
      <w:r>
        <w:rPr>
          <w:rFonts w:hint="eastAsia"/>
          <w:sz w:val="21"/>
          <w:szCs w:val="21"/>
        </w:rPr>
        <w:t xml:space="preserve">投资限制与投资比例的前提下，将主要投资于高流动性的投资品种。 </w:t>
      </w:r>
      <w:bookmarkStart w:id="126" w:name="field_60_investmentstrategy_1_end"/>
      <w:bookmarkEnd w:id="126"/>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127" w:name="chapter_level1_11_60_section_2"/>
      <w:bookmarkEnd w:id="127"/>
      <w:r>
        <w:rPr>
          <w:rStyle w:val="a7"/>
          <w:rFonts w:hint="eastAsia"/>
          <w:sz w:val="21"/>
          <w:szCs w:val="21"/>
        </w:rPr>
        <w:t>四、投资决策流程</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投资决策委员会是本基金的最高决策机构，定期或遇重大事件时就投资管理业务的重大问题进行讨论，并对本基金投资做方向性指导。基金经理、研究员、交易员等各司其责，相互制衡。具体的投资流程为：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1、投资决策委员会定期召开会议，确定本基金的总投资思路和投资原则；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2、宏观策略部基于自上而下的研究为本基金提供建议；研究部行业研究员为行业研究与分析提供支持；固定收益部数量及信用分析员为固定收益类投资决策提供依据；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3、固定收益部定期召开投资例会，根据投资决策委员会的决定，结合市场和个券的变化，制定具体的投资策略；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4、基金经理依据投委会的决定，参考研究员的投资建议，结合风险控制和业绩评估的反馈意见，根据市场情况，制定并实施具体的投资组合方案；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5、基金经理向交易员下达指令，交易员执行后向基金经理反馈；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6、监察法律部对投资的全过程进行合规风险监控；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7、风险管理部通过行使风险管理职能，测算、分析和监控投资风险,根据风险限额管理政策防范超预期风险；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8、风险管理部对基金投资进行风险调整业绩评估，定期与基金经理讨论收益和风险预算。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五、投资限制</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1、组合限制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基金的投资组合应遵循以下限制：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在开放期内，本基金的股票资产投资比例为基金资产0%-95%，港股通标的股票的投资比例为股票资产的0%-50%；在封闭期内，本基金的股票投资比例为基金资产的30%-100%，港股通标的股票的投资比例为股票资产的0%-50%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开放期内，每个交易日日终在扣除股指期货合约、国债期货合约需缴纳的交易保证金后，保持不低于基金资产净值5％的现金或者到期日在一年以内的政府债券；在封闭期内，每个交易日日终在扣除股指期货合约、国债期货合约需缴纳的交易保证金后，应当保持不低于交易保证金一倍的现金。其中，现金不包括结算备付金、存出保证金、应收申购款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（3）本基金持有一家公司发行的证券，其市值（若同时持有一家公司发行的A股和H股，则为A股与H股合计市值）不超过基金资产净值的10％；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（4）本基金管理人管理的全部基金持有一家公司发行的证券，不超过该证券（A股与H股合计）的10％；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（5）本基金持有的全部权证，其市值不得超过基金资产净值的3％； </w:t>
      </w:r>
    </w:p>
    <w:p w:rsidR="002C1A0C" w:rsidRDefault="00864859">
      <w:pPr>
        <w:pStyle w:val="a5"/>
        <w:spacing w:before="0" w:beforeAutospacing="0" w:after="0" w:afterAutospacing="0" w:line="360" w:lineRule="auto"/>
        <w:ind w:firstLine="420"/>
        <w:rPr>
          <w:sz w:val="21"/>
          <w:szCs w:val="21"/>
        </w:rPr>
      </w:pPr>
      <w:r>
        <w:rPr>
          <w:rFonts w:hint="eastAsia"/>
          <w:sz w:val="21"/>
          <w:szCs w:val="21"/>
        </w:rPr>
        <w:t>（6）本基金管理人管理的全部基金持有的同一权证，不得超过该权证的</w:t>
      </w:r>
      <w:r>
        <w:rPr>
          <w:sz w:val="21"/>
          <w:szCs w:val="21"/>
        </w:rPr>
        <w:t xml:space="preserve">   </w:t>
      </w:r>
      <w:r>
        <w:rPr>
          <w:rFonts w:hint="eastAsia"/>
          <w:sz w:val="21"/>
          <w:szCs w:val="21"/>
        </w:rPr>
        <w:t xml:space="preserve">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（7）本基金在任何交易日买入权证的总金额，不得超过上一交易日基金资产净值的0.5％；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（11）本基金管理人管理的全部基金投资于同一原始权益人的各类资产支持证券，不得超过其各类资产支持证券合计规模的10％；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2C1A0C" w:rsidRDefault="00864859">
      <w:pPr>
        <w:pStyle w:val="a5"/>
        <w:spacing w:before="0" w:beforeAutospacing="0" w:after="0" w:afterAutospacing="0" w:line="360" w:lineRule="auto"/>
        <w:ind w:firstLine="420"/>
        <w:rPr>
          <w:sz w:val="21"/>
          <w:szCs w:val="21"/>
        </w:rPr>
      </w:pPr>
      <w:r>
        <w:rPr>
          <w:rFonts w:hint="eastAsia"/>
          <w:sz w:val="21"/>
          <w:szCs w:val="21"/>
        </w:rPr>
        <w:t>（14）本基金进入全国银行间同业市场进行债券回购的资金余额不得超过基金资产净值的40%；本基金在全国银行间同业市场中的债券回购最长期限为1</w:t>
      </w:r>
      <w:r>
        <w:rPr>
          <w:sz w:val="21"/>
          <w:szCs w:val="21"/>
        </w:rPr>
        <w:t xml:space="preserve"> </w:t>
      </w:r>
      <w:r>
        <w:rPr>
          <w:rFonts w:hint="eastAsia"/>
          <w:sz w:val="21"/>
          <w:szCs w:val="21"/>
        </w:rPr>
        <w:t xml:space="preserve">年，债券回购到期后不得展期；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（15）封闭期内，本基金资产总值不得超过基金资产净值的200%；开放期内，本基金资产总值不得超过基金资产净值的140%；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（16）本基金参与股指期货、国债期货投资时，应遵循下列限制：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开放期内的每个交易日日终，本基金持有的买入股指期货和国债期货合约价值和有价证券市值之和，不得超过基金资产净值的95%；封闭期内的每个交易日日终，持有的买入股指期货和国债期货合约价值和有价证券市值之和，不得超过基金资产净值的100%，其中，有价证券指股票、债券（不含到期日在一年以内的政府债券）、权证、资产支持证券、买入返售金融资产（不含质押式回购等）；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3）本基金在任何交易日日终，持有的卖出股指期货合约价值不得超过基金持有的股票总市值的20%；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4）本基金所持有的股票市值和买入、卖出股指期货合约价值，合计（轧差计算）应当符合《基金合同》关于股票投资比例的有关规定；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5）本基金在任何交易日内交易（不包括平仓）的股指期货合约的成交金额不得超过上一交易日基金资产净值的20%；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8）本基金所持有的债券（不含到期日在一年以内的政府债券）市值和买入、卖出国债期货合约价值，合计（轧差计算）应当符合《基金合同》关于债券投资比例的有关规定；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9）本基金在任何交易日内交易（不包括平仓）的国债期货合约的成交金额不得超过上一交易日基金资产净值的30%；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（17）本基金在封闭期内投资中小企业私募债券的剩余期限，不得超过本基金的剩余封闭运作期；本基金在开放期内投资中小企业私募债券的剩余期限，不得超过投资日至下一封闭期到期日的期限；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（18）本基金持有单只中小企业私募债券，其市值不得超过本基金资产净值的10%；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（19）本基金投资流通受限证券，基金管理人应根据中国证监会相关规定进行投资。基金管理人应制订严格的投资决策流程和风险控制制度，防范流动性风险、法律风险和操作风险等各种风险；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20）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（21）开放期内，本基金主动投资于流动性受限资产的市值合计不得超过基金资产净值的15%；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（22）本基金与私募类证券资管产品及中国证监会认定的其他主体为交易对手开展逆回购交易的，可接受质押品的资质要求应当与基金合同约定的投资范围保持一致；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（23）法律法规及中国证监会规定的和《基金合同》约定的其他投资限制。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除上述第（2）、（12）、（21）、（22）项以外，因证券、期货市场波动、上市公司合并、基金规模变动等基金管理人之外的因素致使基金投资比例不符合上述规定投资比例的，基金管理人应当在10个交易日内进行调整，但中国证监会规定的特殊情形除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法律法规或监管部门取消或变更上述限制，如适用于本基金，基金管理人在履行适当程序后，则本基金投资不再受相关限制，或以变更后的规定为准。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2、禁止行为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为维护基金份额持有人的合法权益，基金财产不得用于下列投资或者活动：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（1）承销证券；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（3）从事承担无限责任的投资；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（4）买卖其他基金份额，但是中国证监会另有规定的除外；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（6）从事内幕交易、操纵证券交易价格及其他不正当的证券交易活动；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（7）法律、行政法规和中国证监会规定禁止的其他活动。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法律、行政法规或监管部门取消或变更上述禁止性规定，如适用于本基金，基金管理人在履行适当程序后，则本基金投资不再受相关限制或以变更后的规定为准。 </w:t>
      </w:r>
    </w:p>
    <w:p w:rsidR="002C1A0C" w:rsidRDefault="00864859">
      <w:pPr>
        <w:pStyle w:val="a5"/>
        <w:spacing w:before="0" w:beforeAutospacing="0" w:after="0" w:afterAutospacing="0" w:line="360" w:lineRule="auto"/>
        <w:ind w:firstLine="420"/>
        <w:rPr>
          <w:sz w:val="21"/>
          <w:szCs w:val="21"/>
        </w:rPr>
      </w:pPr>
      <w:bookmarkStart w:id="128" w:name="chapter_level1_11_60_section_2_end"/>
      <w:bookmarkEnd w:id="128"/>
      <w:r>
        <w:rPr>
          <w:rStyle w:val="a7"/>
          <w:rFonts w:hint="eastAsia"/>
          <w:sz w:val="21"/>
          <w:szCs w:val="21"/>
        </w:rPr>
        <w:t>六、业绩比较基准</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129" w:name="chapter_level1_11_60_section_3"/>
      <w:bookmarkStart w:id="130" w:name="field_60_benchmark_1_start"/>
      <w:bookmarkEnd w:id="129"/>
      <w:bookmarkEnd w:id="130"/>
      <w:r>
        <w:rPr>
          <w:rFonts w:hint="eastAsia"/>
          <w:sz w:val="21"/>
          <w:szCs w:val="21"/>
        </w:rPr>
        <w:t xml:space="preserve">本基金的业绩比较基准为：沪深300指数收益率*50%+恒生综合指数收益率×20%+中债综合财富(总值)指数收益率*30%。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其中，沪深</w:t>
      </w:r>
      <w:r>
        <w:rPr>
          <w:sz w:val="21"/>
          <w:szCs w:val="21"/>
        </w:rPr>
        <w:t xml:space="preserve"> </w:t>
      </w:r>
      <w:r>
        <w:rPr>
          <w:rFonts w:hint="eastAsia"/>
          <w:sz w:val="21"/>
          <w:szCs w:val="21"/>
        </w:rPr>
        <w:t>300</w:t>
      </w:r>
      <w:r>
        <w:rPr>
          <w:sz w:val="21"/>
          <w:szCs w:val="21"/>
        </w:rPr>
        <w:t xml:space="preserve"> </w:t>
      </w:r>
      <w:r>
        <w:rPr>
          <w:rFonts w:hint="eastAsia"/>
          <w:sz w:val="21"/>
          <w:szCs w:val="21"/>
        </w:rPr>
        <w:t>指数是由中证指数有限公司编制的反映</w:t>
      </w:r>
      <w:r>
        <w:rPr>
          <w:sz w:val="21"/>
          <w:szCs w:val="21"/>
        </w:rPr>
        <w:t xml:space="preserve"> </w:t>
      </w:r>
      <w:r>
        <w:rPr>
          <w:rFonts w:hint="eastAsia"/>
          <w:sz w:val="21"/>
          <w:szCs w:val="21"/>
        </w:rPr>
        <w:t>A</w:t>
      </w:r>
      <w:r>
        <w:rPr>
          <w:sz w:val="21"/>
          <w:szCs w:val="21"/>
        </w:rPr>
        <w:t xml:space="preserve"> </w:t>
      </w:r>
      <w:r>
        <w:rPr>
          <w:rFonts w:hint="eastAsia"/>
          <w:sz w:val="21"/>
          <w:szCs w:val="21"/>
        </w:rPr>
        <w:t>股市场整体走势的指数，该指数从上海和深圳证券交易所中选取</w:t>
      </w:r>
      <w:r>
        <w:rPr>
          <w:sz w:val="21"/>
          <w:szCs w:val="21"/>
        </w:rPr>
        <w:t xml:space="preserve"> </w:t>
      </w:r>
      <w:r>
        <w:rPr>
          <w:rFonts w:hint="eastAsia"/>
          <w:sz w:val="21"/>
          <w:szCs w:val="21"/>
        </w:rPr>
        <w:t>300</w:t>
      </w:r>
      <w:r>
        <w:rPr>
          <w:sz w:val="21"/>
          <w:szCs w:val="21"/>
        </w:rPr>
        <w:t xml:space="preserve"> </w:t>
      </w:r>
      <w:r>
        <w:rPr>
          <w:rFonts w:hint="eastAsia"/>
          <w:sz w:val="21"/>
          <w:szCs w:val="21"/>
        </w:rPr>
        <w:t>只交易活跃、代表性强的</w:t>
      </w:r>
      <w:r>
        <w:rPr>
          <w:sz w:val="21"/>
          <w:szCs w:val="21"/>
        </w:rPr>
        <w:t xml:space="preserve"> </w:t>
      </w:r>
      <w:r>
        <w:rPr>
          <w:rFonts w:hint="eastAsia"/>
          <w:sz w:val="21"/>
          <w:szCs w:val="21"/>
        </w:rPr>
        <w:t>A</w:t>
      </w:r>
      <w:r>
        <w:rPr>
          <w:sz w:val="21"/>
          <w:szCs w:val="21"/>
        </w:rPr>
        <w:t xml:space="preserve"> </w:t>
      </w:r>
      <w:r>
        <w:rPr>
          <w:rFonts w:hint="eastAsia"/>
          <w:sz w:val="21"/>
          <w:szCs w:val="21"/>
        </w:rPr>
        <w:t xml:space="preserve">股作为成份股，是目前中国证券市场中市值覆盖率高、代表性强且公信力较好的股票指数。恒生综合指数收益率作为本基金港股股票组合的业绩比较基准。中债综合财富（总值）指数由中央国债登记结算有限责任公司编制，样本债券涵盖的范围全面，具有广泛的市场代表性，涵盖主要交易市场（银行间市场、交易所市场等）、不同发行主体（政府、企业等）和期限（长期、中期、短期等），能够很好地反映中国债券市场总体价格水平和变动趋势。 </w:t>
      </w:r>
    </w:p>
    <w:p w:rsidR="002C1A0C" w:rsidRDefault="00864859">
      <w:pPr>
        <w:pStyle w:val="a5"/>
        <w:spacing w:before="0" w:beforeAutospacing="0" w:after="0" w:afterAutospacing="0" w:line="360" w:lineRule="auto"/>
        <w:ind w:firstLine="420"/>
        <w:rPr>
          <w:sz w:val="21"/>
          <w:szCs w:val="21"/>
        </w:rPr>
      </w:pPr>
      <w:r>
        <w:rPr>
          <w:rFonts w:hint="eastAsia"/>
          <w:sz w:val="21"/>
          <w:szCs w:val="21"/>
        </w:rPr>
        <w:t>随着市场环境的变化，如果上述业绩比较基准不适用本基金时，本基金管理人可以依据维护基金份额持有人合法权益的原则，根据实际情况对业绩比较基准进行相应调整，而无需召开基金份额持有人大会。调整业绩比较基准应经基金托管人同意，报中国证监会备案，基金管理人应在调整实施前依照《信息披露办法》的有关规定在中国证监会指定媒介上刊登公</w:t>
      </w:r>
      <w:bookmarkStart w:id="131" w:name="chapter_level1_11_60_section_3_end"/>
      <w:bookmarkEnd w:id="131"/>
      <w:r>
        <w:rPr>
          <w:rFonts w:hint="eastAsia"/>
          <w:sz w:val="21"/>
          <w:szCs w:val="21"/>
        </w:rPr>
        <w:t xml:space="preserve">告。 </w:t>
      </w:r>
      <w:bookmarkStart w:id="132" w:name="field_60_benchmark_1_end"/>
      <w:bookmarkEnd w:id="132"/>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133" w:name="chapter_level1_11_60_section_4"/>
      <w:bookmarkEnd w:id="133"/>
      <w:r>
        <w:rPr>
          <w:rStyle w:val="a7"/>
          <w:rFonts w:hint="eastAsia"/>
          <w:sz w:val="21"/>
          <w:szCs w:val="21"/>
        </w:rPr>
        <w:t>七、风险收益特征</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134" w:name="field_60_riskyield_1_start"/>
      <w:bookmarkEnd w:id="134"/>
      <w:r>
        <w:rPr>
          <w:rFonts w:hint="eastAsia"/>
          <w:sz w:val="21"/>
          <w:szCs w:val="21"/>
        </w:rPr>
        <w:t xml:space="preserve">本基金是混合型基金，其预期收益及风险水平高于货币市场基金、债券型基金，低于股票型基金，属于中高预期风险、中高预期收益的基金品种。 </w:t>
      </w:r>
      <w:bookmarkStart w:id="135" w:name="field_60_riskyield_1_end"/>
      <w:bookmarkEnd w:id="135"/>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八、基金管理人代表基金行使相关权利的处理原则及方法</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1、基金管理人按照国家有关规定代表基金独立行使相关权利，保护基金份额持有人的利益；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2、有利于基金财产的安全与增值；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3、不通过关联交易为自身、雇员、授权代理人或任何存在利害关系的第三人牟取任何不当利益。 </w:t>
      </w:r>
    </w:p>
    <w:p w:rsidR="002C1A0C" w:rsidRDefault="00864859">
      <w:pPr>
        <w:pStyle w:val="a5"/>
        <w:spacing w:before="0" w:beforeAutospacing="0" w:after="0" w:afterAutospacing="0" w:line="360" w:lineRule="auto"/>
        <w:ind w:firstLine="420"/>
        <w:rPr>
          <w:sz w:val="21"/>
          <w:szCs w:val="21"/>
        </w:rPr>
      </w:pPr>
      <w:bookmarkStart w:id="136" w:name="chapter_level1_11_60_section_4_end"/>
      <w:bookmarkStart w:id="137" w:name="chapter_level1_11_60_section_5"/>
      <w:bookmarkStart w:id="138" w:name="chapter_level1_11_60_section_5_end"/>
      <w:bookmarkEnd w:id="136"/>
      <w:bookmarkEnd w:id="137"/>
      <w:bookmarkEnd w:id="138"/>
      <w:r>
        <w:rPr>
          <w:rStyle w:val="a7"/>
          <w:rFonts w:hint="eastAsia"/>
          <w:sz w:val="21"/>
          <w:szCs w:val="21"/>
        </w:rPr>
        <w:t>九、基金投资组合报告</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139" w:name="chapter_level1_11_60_section_6"/>
      <w:bookmarkEnd w:id="139"/>
      <w:r>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基金托管人根据基金合同规定，复核了本报告中的净值表现和投资组合报告等内容，保证复核内容不存在虚假记载、误导性陈述或者重大遗漏。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本投资组合报告所载数据截至</w:t>
      </w:r>
      <w:bookmarkStart w:id="140" w:name="field_2343_financeendday_2"/>
      <w:r>
        <w:rPr>
          <w:sz w:val="21"/>
          <w:szCs w:val="21"/>
        </w:rPr>
        <w:t>2019年09月30日</w:t>
      </w:r>
      <w:bookmarkEnd w:id="140"/>
      <w:r>
        <w:rPr>
          <w:rFonts w:hint="eastAsia"/>
          <w:sz w:val="21"/>
          <w:szCs w:val="21"/>
        </w:rPr>
        <w:t xml:space="preserve">，本报告中所列财务数据未经审计。 </w:t>
      </w:r>
    </w:p>
    <w:p w:rsidR="002C1A0C" w:rsidRDefault="00864859">
      <w:pPr>
        <w:pStyle w:val="a5"/>
        <w:spacing w:before="0" w:beforeAutospacing="0" w:after="0" w:afterAutospacing="0" w:line="360" w:lineRule="auto"/>
        <w:ind w:firstLine="420"/>
        <w:rPr>
          <w:sz w:val="21"/>
          <w:szCs w:val="21"/>
        </w:rPr>
      </w:pPr>
      <w:r>
        <w:rPr>
          <w:rFonts w:hint="eastAsia"/>
          <w:sz w:val="21"/>
          <w:szCs w:val="21"/>
        </w:rPr>
        <w:t>1</w:t>
      </w:r>
      <w:r>
        <w:rPr>
          <w:sz w:val="21"/>
          <w:szCs w:val="21"/>
        </w:rPr>
        <w:t xml:space="preserve"> </w:t>
      </w:r>
      <w:r>
        <w:rPr>
          <w:rFonts w:hint="eastAsia"/>
          <w:sz w:val="21"/>
          <w:szCs w:val="21"/>
        </w:rPr>
        <w:t>报告期末基金资产组合情况</w:t>
      </w:r>
      <w:r>
        <w:rPr>
          <w:sz w:val="21"/>
          <w:szCs w:val="21"/>
        </w:rPr>
        <w:t xml:space="preserve"> </w:t>
      </w:r>
      <w:r>
        <w:rPr>
          <w:rFonts w:hint="eastAsia"/>
          <w:sz w:val="21"/>
          <w:szCs w:val="21"/>
        </w:rPr>
        <w:t xml:space="preserve"> </w:t>
      </w:r>
    </w:p>
    <w:p w:rsidR="002C1A0C" w:rsidRDefault="002C1A0C">
      <w:pPr>
        <w:pStyle w:val="a5"/>
        <w:spacing w:before="0" w:beforeAutospacing="0" w:after="0" w:afterAutospacing="0" w:line="360" w:lineRule="auto"/>
        <w:ind w:firstLine="420"/>
        <w:rPr>
          <w:sz w:val="21"/>
          <w:szCs w:val="21"/>
        </w:rPr>
      </w:pPr>
    </w:p>
    <w:p w:rsidR="002C1A0C" w:rsidRDefault="002C1A0C">
      <w:pPr>
        <w:pStyle w:val="a5"/>
        <w:spacing w:before="0" w:beforeAutospacing="0" w:after="0" w:afterAutospacing="0" w:line="360" w:lineRule="auto"/>
        <w:ind w:firstLine="420"/>
        <w:rPr>
          <w:sz w:val="21"/>
          <w:szCs w:val="21"/>
        </w:rPr>
      </w:pPr>
    </w:p>
    <w:tbl>
      <w:tblPr>
        <w:tblStyle w:val="a6"/>
        <w:tblW w:w="9060" w:type="dxa"/>
        <w:tblLook w:val="04A0" w:firstRow="1" w:lastRow="0" w:firstColumn="1" w:lastColumn="0" w:noHBand="0" w:noVBand="1"/>
      </w:tblPr>
      <w:tblGrid>
        <w:gridCol w:w="705"/>
        <w:gridCol w:w="3939"/>
        <w:gridCol w:w="2016"/>
        <w:gridCol w:w="2400"/>
      </w:tblGrid>
      <w:tr w:rsidR="002C1A0C">
        <w:tc>
          <w:tcPr>
            <w:tcW w:w="705"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lastRenderedPageBreak/>
              <w:t>序号</w:t>
            </w:r>
          </w:p>
        </w:tc>
        <w:tc>
          <w:tcPr>
            <w:tcW w:w="39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项目</w:t>
            </w:r>
          </w:p>
        </w:tc>
        <w:tc>
          <w:tcPr>
            <w:tcW w:w="2016"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金额</w:t>
            </w:r>
            <w:r>
              <w:rPr>
                <w:rFonts w:hint="eastAsia"/>
              </w:rPr>
              <w:t>(</w:t>
            </w:r>
            <w:r>
              <w:rPr>
                <w:rFonts w:hint="eastAsia"/>
              </w:rPr>
              <w:t>元</w:t>
            </w:r>
            <w:r>
              <w:rPr>
                <w:rFonts w:hint="eastAsia"/>
              </w:rPr>
              <w:t>)</w:t>
            </w:r>
          </w:p>
        </w:tc>
        <w:tc>
          <w:tcPr>
            <w:tcW w:w="2400"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占基金总资产的比例</w:t>
            </w:r>
            <w:r>
              <w:rPr>
                <w:rFonts w:hint="eastAsia"/>
              </w:rPr>
              <w:t>(%)</w:t>
            </w:r>
          </w:p>
        </w:tc>
      </w:tr>
      <w:tr w:rsidR="002C1A0C">
        <w:tc>
          <w:tcPr>
            <w:tcW w:w="705"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1</w:t>
            </w: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权益投资</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148,222,075.81</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53.06</w:t>
            </w:r>
          </w:p>
        </w:tc>
      </w:tr>
      <w:tr w:rsidR="002C1A0C">
        <w:tc>
          <w:tcPr>
            <w:tcW w:w="705" w:type="dxa"/>
            <w:shd w:val="clear" w:color="auto" w:fill="auto"/>
          </w:tcPr>
          <w:p w:rsidR="002C1A0C" w:rsidRDefault="002C1A0C">
            <w:pPr>
              <w:spacing w:beforeAutospacing="1" w:afterAutospacing="1"/>
              <w:jc w:val="left"/>
              <w:rPr>
                <w:rFonts w:ascii="宋体" w:eastAsia="宋体" w:hAnsi="宋体" w:cs="宋体"/>
                <w:szCs w:val="24"/>
              </w:rPr>
            </w:pP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其中：股票</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148,222,075.81</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53.06</w:t>
            </w:r>
          </w:p>
        </w:tc>
      </w:tr>
      <w:tr w:rsidR="002C1A0C">
        <w:tc>
          <w:tcPr>
            <w:tcW w:w="705"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2</w:t>
            </w: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基金投资</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705"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3</w:t>
            </w: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固定收益投资</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705" w:type="dxa"/>
            <w:shd w:val="clear" w:color="auto" w:fill="auto"/>
          </w:tcPr>
          <w:p w:rsidR="002C1A0C" w:rsidRDefault="002C1A0C">
            <w:pPr>
              <w:spacing w:beforeAutospacing="1" w:afterAutospacing="1"/>
              <w:jc w:val="left"/>
              <w:rPr>
                <w:rFonts w:ascii="宋体" w:eastAsia="宋体" w:hAnsi="宋体" w:cs="宋体"/>
                <w:szCs w:val="24"/>
              </w:rPr>
            </w:pP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其中：债券</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705" w:type="dxa"/>
            <w:shd w:val="clear" w:color="auto" w:fill="auto"/>
          </w:tcPr>
          <w:p w:rsidR="002C1A0C" w:rsidRDefault="002C1A0C">
            <w:pPr>
              <w:spacing w:beforeAutospacing="1" w:afterAutospacing="1"/>
              <w:jc w:val="left"/>
              <w:rPr>
                <w:rFonts w:ascii="宋体" w:eastAsia="宋体" w:hAnsi="宋体" w:cs="宋体"/>
                <w:szCs w:val="24"/>
              </w:rPr>
            </w:pP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资产支持证券</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705"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4</w:t>
            </w: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贵金属投资</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705"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5</w:t>
            </w: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金融衍生品投资</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705"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6</w:t>
            </w: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买入返售金融资产</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77,600,000.00</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27.78</w:t>
            </w:r>
          </w:p>
        </w:tc>
      </w:tr>
      <w:tr w:rsidR="002C1A0C">
        <w:tc>
          <w:tcPr>
            <w:tcW w:w="705" w:type="dxa"/>
            <w:shd w:val="clear" w:color="auto" w:fill="auto"/>
          </w:tcPr>
          <w:p w:rsidR="002C1A0C" w:rsidRDefault="002C1A0C">
            <w:pPr>
              <w:spacing w:beforeAutospacing="1" w:afterAutospacing="1"/>
              <w:jc w:val="left"/>
              <w:rPr>
                <w:rFonts w:ascii="宋体" w:eastAsia="宋体" w:hAnsi="宋体" w:cs="宋体"/>
                <w:szCs w:val="24"/>
              </w:rPr>
            </w:pP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其中：买断式回购的买入返售金融资产</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705"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7</w:t>
            </w: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银行存款和结算备付金合计</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51,719,478.23</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18.51</w:t>
            </w:r>
          </w:p>
        </w:tc>
      </w:tr>
      <w:tr w:rsidR="002C1A0C">
        <w:tc>
          <w:tcPr>
            <w:tcW w:w="705"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8</w:t>
            </w: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其他各项资产</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1,806,683.28</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0.65</w:t>
            </w:r>
          </w:p>
        </w:tc>
      </w:tr>
      <w:tr w:rsidR="002C1A0C">
        <w:tc>
          <w:tcPr>
            <w:tcW w:w="705"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9</w:t>
            </w:r>
          </w:p>
        </w:tc>
        <w:tc>
          <w:tcPr>
            <w:tcW w:w="393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合计</w:t>
            </w:r>
          </w:p>
        </w:tc>
        <w:tc>
          <w:tcPr>
            <w:tcW w:w="2016"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279,348,237.32</w:t>
            </w:r>
          </w:p>
        </w:tc>
        <w:tc>
          <w:tcPr>
            <w:tcW w:w="2400"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100.00</w:t>
            </w:r>
          </w:p>
        </w:tc>
      </w:tr>
    </w:tbl>
    <w:p w:rsidR="002C1A0C" w:rsidRDefault="00864859">
      <w:pPr>
        <w:pStyle w:val="a5"/>
        <w:spacing w:before="0" w:beforeAutospacing="0" w:after="0" w:afterAutospacing="0" w:line="360" w:lineRule="auto"/>
        <w:ind w:firstLine="420"/>
        <w:rPr>
          <w:b/>
          <w:sz w:val="21"/>
          <w:szCs w:val="21"/>
        </w:rPr>
      </w:pPr>
      <w:r>
        <w:rPr>
          <w:sz w:val="21"/>
          <w:szCs w:val="21"/>
        </w:rPr>
        <w:t xml:space="preserve"> </w:t>
      </w:r>
      <w:r>
        <w:rPr>
          <w:rStyle w:val="a7"/>
          <w:rFonts w:hint="eastAsia"/>
          <w:b w:val="0"/>
          <w:sz w:val="21"/>
          <w:szCs w:val="21"/>
        </w:rPr>
        <w:t>2</w:t>
      </w:r>
      <w:r>
        <w:rPr>
          <w:rStyle w:val="a7"/>
          <w:b w:val="0"/>
          <w:sz w:val="21"/>
          <w:szCs w:val="21"/>
        </w:rPr>
        <w:t xml:space="preserve"> </w:t>
      </w:r>
      <w:r>
        <w:rPr>
          <w:rStyle w:val="a7"/>
          <w:rFonts w:hint="eastAsia"/>
          <w:b w:val="0"/>
          <w:sz w:val="21"/>
          <w:szCs w:val="21"/>
        </w:rPr>
        <w:t>报告期末按行业分类的股票投资组合</w:t>
      </w:r>
    </w:p>
    <w:tbl>
      <w:tblPr>
        <w:tblStyle w:val="a6"/>
        <w:tblW w:w="9039" w:type="dxa"/>
        <w:tblLook w:val="04A0" w:firstRow="1" w:lastRow="0" w:firstColumn="1" w:lastColumn="0" w:noHBand="0" w:noVBand="1"/>
      </w:tblPr>
      <w:tblGrid>
        <w:gridCol w:w="678"/>
        <w:gridCol w:w="3683"/>
        <w:gridCol w:w="1984"/>
        <w:gridCol w:w="2694"/>
      </w:tblGrid>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代码</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行业类别</w:t>
            </w:r>
          </w:p>
        </w:tc>
        <w:tc>
          <w:tcPr>
            <w:tcW w:w="1984"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公允价值（元）</w:t>
            </w:r>
          </w:p>
        </w:tc>
        <w:tc>
          <w:tcPr>
            <w:tcW w:w="2694"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占基金资产净值比例（％）</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A</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农、林、牧、渔业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B</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采矿业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C</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制造业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86,656,072.56</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32.11</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D</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电力、热力、燃气及水生产和供应业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2,139,240.40</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0.79</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E</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建筑业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2,797,536.00</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1.04</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F</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批发和零售业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16,946,253.25</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6.28</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G</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交通运输、仓储和邮政业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H</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住宿和餐饮业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I</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信息传输、软件和信息技术服务业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10,740,076.40</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3.98</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J</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金融业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13,290,276.00</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4.92</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K</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房地产业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10,655,847.00</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3.95</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L</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租赁和商务服务业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M</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科学研究和技术服务业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N</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水利、环境和公共设施管理业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4,996,774.20</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1.85</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O</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居民服务、修理和其他服务业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P</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教育</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Q</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卫生和社会工作</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R</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文化、体育和娱乐业</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78"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S</w:t>
            </w: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综合</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78" w:type="dxa"/>
            <w:shd w:val="clear" w:color="auto" w:fill="auto"/>
          </w:tcPr>
          <w:p w:rsidR="002C1A0C" w:rsidRDefault="002C1A0C">
            <w:pPr>
              <w:spacing w:beforeAutospacing="1" w:afterAutospacing="1"/>
              <w:jc w:val="left"/>
              <w:rPr>
                <w:rFonts w:ascii="宋体" w:eastAsia="宋体" w:hAnsi="宋体" w:cs="宋体"/>
                <w:szCs w:val="24"/>
              </w:rPr>
            </w:pPr>
          </w:p>
        </w:tc>
        <w:tc>
          <w:tcPr>
            <w:tcW w:w="3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合计</w:t>
            </w:r>
          </w:p>
        </w:tc>
        <w:tc>
          <w:tcPr>
            <w:tcW w:w="198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148,222,075.81</w:t>
            </w:r>
          </w:p>
        </w:tc>
        <w:tc>
          <w:tcPr>
            <w:tcW w:w="2694"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54.92</w:t>
            </w:r>
          </w:p>
        </w:tc>
      </w:tr>
    </w:tbl>
    <w:p w:rsidR="002C1A0C" w:rsidRDefault="00864859">
      <w:pPr>
        <w:pStyle w:val="a5"/>
        <w:spacing w:before="0" w:beforeAutospacing="0" w:after="0" w:afterAutospacing="0" w:line="360" w:lineRule="auto"/>
        <w:ind w:firstLine="420"/>
        <w:rPr>
          <w:b/>
          <w:sz w:val="21"/>
          <w:szCs w:val="21"/>
        </w:rPr>
      </w:pPr>
      <w:r>
        <w:rPr>
          <w:rStyle w:val="a7"/>
          <w:rFonts w:hint="eastAsia"/>
          <w:b w:val="0"/>
          <w:sz w:val="21"/>
          <w:szCs w:val="21"/>
        </w:rPr>
        <w:t>3</w:t>
      </w:r>
      <w:r>
        <w:rPr>
          <w:rStyle w:val="a7"/>
          <w:b w:val="0"/>
          <w:sz w:val="21"/>
          <w:szCs w:val="21"/>
        </w:rPr>
        <w:t xml:space="preserve"> </w:t>
      </w:r>
      <w:r>
        <w:rPr>
          <w:rStyle w:val="a7"/>
          <w:rFonts w:hint="eastAsia"/>
          <w:b w:val="0"/>
          <w:sz w:val="21"/>
          <w:szCs w:val="21"/>
        </w:rPr>
        <w:t>报告期末按公允价值占基金资产净值比例大小排序的前十名股票投资明细</w:t>
      </w:r>
    </w:p>
    <w:tbl>
      <w:tblPr>
        <w:tblStyle w:val="a6"/>
        <w:tblW w:w="9039" w:type="dxa"/>
        <w:tblLook w:val="04A0" w:firstRow="1" w:lastRow="0" w:firstColumn="1" w:lastColumn="0" w:noHBand="0" w:noVBand="1"/>
      </w:tblPr>
      <w:tblGrid>
        <w:gridCol w:w="671"/>
        <w:gridCol w:w="1105"/>
        <w:gridCol w:w="1539"/>
        <w:gridCol w:w="1848"/>
        <w:gridCol w:w="1913"/>
        <w:gridCol w:w="1963"/>
      </w:tblGrid>
      <w:tr w:rsidR="002C1A0C">
        <w:tc>
          <w:tcPr>
            <w:tcW w:w="671"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序号</w:t>
            </w:r>
          </w:p>
        </w:tc>
        <w:tc>
          <w:tcPr>
            <w:tcW w:w="1105"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股票代码</w:t>
            </w:r>
          </w:p>
        </w:tc>
        <w:tc>
          <w:tcPr>
            <w:tcW w:w="15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股票名称</w:t>
            </w:r>
          </w:p>
        </w:tc>
        <w:tc>
          <w:tcPr>
            <w:tcW w:w="1848"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数量</w:t>
            </w:r>
            <w:r>
              <w:rPr>
                <w:rFonts w:hint="eastAsia"/>
              </w:rPr>
              <w:t>(</w:t>
            </w:r>
            <w:r>
              <w:rPr>
                <w:rFonts w:hint="eastAsia"/>
              </w:rPr>
              <w:t>股</w:t>
            </w:r>
            <w:r>
              <w:rPr>
                <w:rFonts w:hint="eastAsia"/>
              </w:rPr>
              <w:t>)</w:t>
            </w:r>
          </w:p>
        </w:tc>
        <w:tc>
          <w:tcPr>
            <w:tcW w:w="1913"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公允价值</w:t>
            </w:r>
            <w:r>
              <w:rPr>
                <w:rFonts w:hint="eastAsia"/>
              </w:rPr>
              <w:t>(</w:t>
            </w:r>
            <w:r>
              <w:rPr>
                <w:rFonts w:hint="eastAsia"/>
              </w:rPr>
              <w:t>元</w:t>
            </w:r>
            <w:r>
              <w:rPr>
                <w:rFonts w:hint="eastAsia"/>
              </w:rPr>
              <w:t>)</w:t>
            </w:r>
          </w:p>
        </w:tc>
        <w:tc>
          <w:tcPr>
            <w:tcW w:w="1963"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占基金资产净值比例</w:t>
            </w:r>
            <w:r>
              <w:rPr>
                <w:rFonts w:hint="eastAsia"/>
              </w:rPr>
              <w:t>(</w:t>
            </w:r>
            <w:r>
              <w:rPr>
                <w:rFonts w:hint="eastAsia"/>
              </w:rPr>
              <w:t>％</w:t>
            </w:r>
            <w:r>
              <w:rPr>
                <w:rFonts w:hint="eastAsia"/>
              </w:rPr>
              <w:t>)</w:t>
            </w:r>
          </w:p>
        </w:tc>
      </w:tr>
      <w:tr w:rsidR="002C1A0C">
        <w:tc>
          <w:tcPr>
            <w:tcW w:w="67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1</w:t>
            </w:r>
          </w:p>
        </w:tc>
        <w:tc>
          <w:tcPr>
            <w:tcW w:w="1105"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300207</w:t>
            </w:r>
          </w:p>
        </w:tc>
        <w:tc>
          <w:tcPr>
            <w:tcW w:w="15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欣旺达</w:t>
            </w:r>
          </w:p>
        </w:tc>
        <w:tc>
          <w:tcPr>
            <w:tcW w:w="1848"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788,500</w:t>
            </w:r>
          </w:p>
        </w:tc>
        <w:tc>
          <w:tcPr>
            <w:tcW w:w="191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11,853,775.00</w:t>
            </w:r>
          </w:p>
        </w:tc>
        <w:tc>
          <w:tcPr>
            <w:tcW w:w="196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4.39</w:t>
            </w:r>
          </w:p>
        </w:tc>
      </w:tr>
      <w:tr w:rsidR="002C1A0C">
        <w:tc>
          <w:tcPr>
            <w:tcW w:w="67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2</w:t>
            </w:r>
          </w:p>
        </w:tc>
        <w:tc>
          <w:tcPr>
            <w:tcW w:w="1105"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600340</w:t>
            </w:r>
          </w:p>
        </w:tc>
        <w:tc>
          <w:tcPr>
            <w:tcW w:w="15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华夏幸福</w:t>
            </w:r>
          </w:p>
        </w:tc>
        <w:tc>
          <w:tcPr>
            <w:tcW w:w="1848"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395,100</w:t>
            </w:r>
          </w:p>
        </w:tc>
        <w:tc>
          <w:tcPr>
            <w:tcW w:w="191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10,655,847.00</w:t>
            </w:r>
          </w:p>
        </w:tc>
        <w:tc>
          <w:tcPr>
            <w:tcW w:w="196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3.95</w:t>
            </w:r>
          </w:p>
        </w:tc>
      </w:tr>
      <w:tr w:rsidR="002C1A0C">
        <w:tc>
          <w:tcPr>
            <w:tcW w:w="67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3</w:t>
            </w:r>
          </w:p>
        </w:tc>
        <w:tc>
          <w:tcPr>
            <w:tcW w:w="1105"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600426</w:t>
            </w:r>
          </w:p>
        </w:tc>
        <w:tc>
          <w:tcPr>
            <w:tcW w:w="15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华鲁恒升</w:t>
            </w:r>
          </w:p>
        </w:tc>
        <w:tc>
          <w:tcPr>
            <w:tcW w:w="1848"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564,200</w:t>
            </w:r>
          </w:p>
        </w:tc>
        <w:tc>
          <w:tcPr>
            <w:tcW w:w="191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9,269,806.00</w:t>
            </w:r>
          </w:p>
        </w:tc>
        <w:tc>
          <w:tcPr>
            <w:tcW w:w="196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3.43</w:t>
            </w:r>
          </w:p>
        </w:tc>
      </w:tr>
      <w:tr w:rsidR="002C1A0C">
        <w:tc>
          <w:tcPr>
            <w:tcW w:w="67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lastRenderedPageBreak/>
              <w:t>4</w:t>
            </w:r>
          </w:p>
        </w:tc>
        <w:tc>
          <w:tcPr>
            <w:tcW w:w="1105"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300450</w:t>
            </w:r>
          </w:p>
        </w:tc>
        <w:tc>
          <w:tcPr>
            <w:tcW w:w="15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先导智能</w:t>
            </w:r>
          </w:p>
        </w:tc>
        <w:tc>
          <w:tcPr>
            <w:tcW w:w="1848"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253,600</w:t>
            </w:r>
          </w:p>
        </w:tc>
        <w:tc>
          <w:tcPr>
            <w:tcW w:w="191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8,546,320.00</w:t>
            </w:r>
          </w:p>
        </w:tc>
        <w:tc>
          <w:tcPr>
            <w:tcW w:w="196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3.17</w:t>
            </w:r>
          </w:p>
        </w:tc>
      </w:tr>
      <w:tr w:rsidR="002C1A0C">
        <w:tc>
          <w:tcPr>
            <w:tcW w:w="67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5</w:t>
            </w:r>
          </w:p>
        </w:tc>
        <w:tc>
          <w:tcPr>
            <w:tcW w:w="1105"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601211</w:t>
            </w:r>
          </w:p>
        </w:tc>
        <w:tc>
          <w:tcPr>
            <w:tcW w:w="15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国泰君安</w:t>
            </w:r>
          </w:p>
        </w:tc>
        <w:tc>
          <w:tcPr>
            <w:tcW w:w="1848"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446,800</w:t>
            </w:r>
          </w:p>
        </w:tc>
        <w:tc>
          <w:tcPr>
            <w:tcW w:w="191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7,850,276.00</w:t>
            </w:r>
          </w:p>
        </w:tc>
        <w:tc>
          <w:tcPr>
            <w:tcW w:w="196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2.91</w:t>
            </w:r>
          </w:p>
        </w:tc>
      </w:tr>
      <w:tr w:rsidR="002C1A0C">
        <w:tc>
          <w:tcPr>
            <w:tcW w:w="67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6</w:t>
            </w:r>
          </w:p>
        </w:tc>
        <w:tc>
          <w:tcPr>
            <w:tcW w:w="1105"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002419</w:t>
            </w:r>
          </w:p>
        </w:tc>
        <w:tc>
          <w:tcPr>
            <w:tcW w:w="15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天虹股份</w:t>
            </w:r>
          </w:p>
        </w:tc>
        <w:tc>
          <w:tcPr>
            <w:tcW w:w="1848"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614,200</w:t>
            </w:r>
          </w:p>
        </w:tc>
        <w:tc>
          <w:tcPr>
            <w:tcW w:w="191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7,358,116.00</w:t>
            </w:r>
          </w:p>
        </w:tc>
        <w:tc>
          <w:tcPr>
            <w:tcW w:w="196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2.73</w:t>
            </w:r>
          </w:p>
        </w:tc>
      </w:tr>
      <w:tr w:rsidR="002C1A0C">
        <w:tc>
          <w:tcPr>
            <w:tcW w:w="67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7</w:t>
            </w:r>
          </w:p>
        </w:tc>
        <w:tc>
          <w:tcPr>
            <w:tcW w:w="1105"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600031</w:t>
            </w:r>
          </w:p>
        </w:tc>
        <w:tc>
          <w:tcPr>
            <w:tcW w:w="15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三一重工</w:t>
            </w:r>
          </w:p>
        </w:tc>
        <w:tc>
          <w:tcPr>
            <w:tcW w:w="1848"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471,158</w:t>
            </w:r>
          </w:p>
        </w:tc>
        <w:tc>
          <w:tcPr>
            <w:tcW w:w="191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6,728,136.24</w:t>
            </w:r>
          </w:p>
        </w:tc>
        <w:tc>
          <w:tcPr>
            <w:tcW w:w="196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2.49</w:t>
            </w:r>
          </w:p>
        </w:tc>
      </w:tr>
      <w:tr w:rsidR="002C1A0C">
        <w:tc>
          <w:tcPr>
            <w:tcW w:w="67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8</w:t>
            </w:r>
          </w:p>
        </w:tc>
        <w:tc>
          <w:tcPr>
            <w:tcW w:w="1105"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600380</w:t>
            </w:r>
          </w:p>
        </w:tc>
        <w:tc>
          <w:tcPr>
            <w:tcW w:w="15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健康元</w:t>
            </w:r>
          </w:p>
        </w:tc>
        <w:tc>
          <w:tcPr>
            <w:tcW w:w="1848"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682,700</w:t>
            </w:r>
          </w:p>
        </w:tc>
        <w:tc>
          <w:tcPr>
            <w:tcW w:w="191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6,697,287.00</w:t>
            </w:r>
          </w:p>
        </w:tc>
        <w:tc>
          <w:tcPr>
            <w:tcW w:w="196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2.48</w:t>
            </w:r>
          </w:p>
        </w:tc>
      </w:tr>
      <w:tr w:rsidR="002C1A0C">
        <w:tc>
          <w:tcPr>
            <w:tcW w:w="67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9</w:t>
            </w:r>
          </w:p>
        </w:tc>
        <w:tc>
          <w:tcPr>
            <w:tcW w:w="1105"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600309</w:t>
            </w:r>
          </w:p>
        </w:tc>
        <w:tc>
          <w:tcPr>
            <w:tcW w:w="15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万华化学</w:t>
            </w:r>
          </w:p>
        </w:tc>
        <w:tc>
          <w:tcPr>
            <w:tcW w:w="1848"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141,333</w:t>
            </w:r>
          </w:p>
        </w:tc>
        <w:tc>
          <w:tcPr>
            <w:tcW w:w="191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6,239,851.95</w:t>
            </w:r>
          </w:p>
        </w:tc>
        <w:tc>
          <w:tcPr>
            <w:tcW w:w="196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2.31</w:t>
            </w:r>
          </w:p>
        </w:tc>
      </w:tr>
      <w:tr w:rsidR="002C1A0C">
        <w:tc>
          <w:tcPr>
            <w:tcW w:w="67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10</w:t>
            </w:r>
          </w:p>
        </w:tc>
        <w:tc>
          <w:tcPr>
            <w:tcW w:w="1105"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300274</w:t>
            </w:r>
          </w:p>
        </w:tc>
        <w:tc>
          <w:tcPr>
            <w:tcW w:w="153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阳光电源</w:t>
            </w:r>
          </w:p>
        </w:tc>
        <w:tc>
          <w:tcPr>
            <w:tcW w:w="1848"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538,500</w:t>
            </w:r>
          </w:p>
        </w:tc>
        <w:tc>
          <w:tcPr>
            <w:tcW w:w="191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6,085,050.00</w:t>
            </w:r>
          </w:p>
        </w:tc>
        <w:tc>
          <w:tcPr>
            <w:tcW w:w="1963"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2.25</w:t>
            </w:r>
          </w:p>
        </w:tc>
      </w:tr>
    </w:tbl>
    <w:p w:rsidR="002C1A0C" w:rsidRDefault="00864859">
      <w:pPr>
        <w:pStyle w:val="a5"/>
        <w:spacing w:before="0" w:beforeAutospacing="0" w:after="0" w:afterAutospacing="0" w:line="360" w:lineRule="auto"/>
        <w:ind w:firstLine="420"/>
        <w:rPr>
          <w:b/>
          <w:sz w:val="21"/>
          <w:szCs w:val="21"/>
        </w:rPr>
      </w:pPr>
      <w:r>
        <w:rPr>
          <w:rStyle w:val="a7"/>
          <w:rFonts w:hint="eastAsia"/>
          <w:b w:val="0"/>
          <w:sz w:val="21"/>
          <w:szCs w:val="21"/>
        </w:rPr>
        <w:t>4</w:t>
      </w:r>
      <w:r>
        <w:rPr>
          <w:rStyle w:val="a7"/>
          <w:b w:val="0"/>
          <w:sz w:val="21"/>
          <w:szCs w:val="21"/>
        </w:rPr>
        <w:t xml:space="preserve"> </w:t>
      </w:r>
      <w:r>
        <w:rPr>
          <w:rStyle w:val="a7"/>
          <w:rFonts w:hint="eastAsia"/>
          <w:b w:val="0"/>
          <w:sz w:val="21"/>
          <w:szCs w:val="21"/>
        </w:rPr>
        <w:t>报告期末按债券品种分类的债券投资组合</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本基金本报告期末未持有债券。 </w:t>
      </w:r>
    </w:p>
    <w:p w:rsidR="002C1A0C" w:rsidRDefault="00864859">
      <w:pPr>
        <w:pStyle w:val="a5"/>
        <w:spacing w:before="0" w:beforeAutospacing="0" w:after="0" w:afterAutospacing="0" w:line="360" w:lineRule="auto"/>
        <w:ind w:firstLine="420"/>
        <w:rPr>
          <w:b/>
          <w:sz w:val="21"/>
          <w:szCs w:val="21"/>
        </w:rPr>
      </w:pPr>
      <w:r>
        <w:rPr>
          <w:rStyle w:val="a7"/>
          <w:rFonts w:hint="eastAsia"/>
          <w:b w:val="0"/>
          <w:sz w:val="21"/>
          <w:szCs w:val="21"/>
        </w:rPr>
        <w:t>5</w:t>
      </w:r>
      <w:r>
        <w:rPr>
          <w:rStyle w:val="a7"/>
          <w:b w:val="0"/>
          <w:sz w:val="21"/>
          <w:szCs w:val="21"/>
        </w:rPr>
        <w:t xml:space="preserve"> </w:t>
      </w:r>
      <w:r>
        <w:rPr>
          <w:rStyle w:val="a7"/>
          <w:rFonts w:hint="eastAsia"/>
          <w:b w:val="0"/>
          <w:sz w:val="21"/>
          <w:szCs w:val="21"/>
        </w:rPr>
        <w:t>报告期末按公允价值占基金资产净值比例大小排序的前五名债券投资明细</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本基金本报告期末未持有债券。 </w:t>
      </w:r>
    </w:p>
    <w:p w:rsidR="002C1A0C" w:rsidRDefault="00864859">
      <w:pPr>
        <w:pStyle w:val="a5"/>
        <w:spacing w:before="0" w:beforeAutospacing="0" w:after="0" w:afterAutospacing="0" w:line="360" w:lineRule="auto"/>
        <w:ind w:firstLine="420"/>
        <w:rPr>
          <w:b/>
          <w:sz w:val="21"/>
          <w:szCs w:val="21"/>
        </w:rPr>
      </w:pPr>
      <w:r>
        <w:rPr>
          <w:rStyle w:val="a7"/>
          <w:rFonts w:hint="eastAsia"/>
          <w:b w:val="0"/>
          <w:sz w:val="21"/>
          <w:szCs w:val="21"/>
        </w:rPr>
        <w:t>6</w:t>
      </w:r>
      <w:r>
        <w:rPr>
          <w:rStyle w:val="a7"/>
          <w:b w:val="0"/>
          <w:sz w:val="21"/>
          <w:szCs w:val="21"/>
        </w:rPr>
        <w:t xml:space="preserve"> </w:t>
      </w:r>
      <w:r>
        <w:rPr>
          <w:rStyle w:val="a7"/>
          <w:rFonts w:hint="eastAsia"/>
          <w:b w:val="0"/>
          <w:sz w:val="21"/>
          <w:szCs w:val="21"/>
        </w:rPr>
        <w:t>报告期末按公允价值占基金资产净值比例大小排序的前十名资产支持证券投资明细</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本基金本报告期末未持有资产支持证券。 </w:t>
      </w:r>
    </w:p>
    <w:p w:rsidR="002C1A0C" w:rsidRDefault="00864859">
      <w:pPr>
        <w:pStyle w:val="a5"/>
        <w:spacing w:before="0" w:beforeAutospacing="0" w:after="0" w:afterAutospacing="0" w:line="360" w:lineRule="auto"/>
        <w:ind w:firstLine="420"/>
        <w:rPr>
          <w:b/>
          <w:sz w:val="21"/>
          <w:szCs w:val="21"/>
        </w:rPr>
      </w:pPr>
      <w:r>
        <w:rPr>
          <w:rStyle w:val="a7"/>
          <w:rFonts w:hint="eastAsia"/>
          <w:b w:val="0"/>
          <w:sz w:val="21"/>
          <w:szCs w:val="21"/>
        </w:rPr>
        <w:t>7</w:t>
      </w:r>
      <w:r>
        <w:rPr>
          <w:rStyle w:val="a7"/>
          <w:b w:val="0"/>
          <w:sz w:val="21"/>
          <w:szCs w:val="21"/>
        </w:rPr>
        <w:t xml:space="preserve"> </w:t>
      </w:r>
      <w:r>
        <w:rPr>
          <w:rStyle w:val="a7"/>
          <w:rFonts w:hint="eastAsia"/>
          <w:b w:val="0"/>
          <w:sz w:val="21"/>
          <w:szCs w:val="21"/>
        </w:rPr>
        <w:t>报告期末按公允价值占基金资产净值比例大小排序的前五名贵金属投资明细</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本基金本报告期末未持有贵金属。 </w:t>
      </w:r>
    </w:p>
    <w:p w:rsidR="002C1A0C" w:rsidRDefault="00864859">
      <w:pPr>
        <w:pStyle w:val="a5"/>
        <w:spacing w:before="0" w:beforeAutospacing="0" w:after="0" w:afterAutospacing="0" w:line="360" w:lineRule="auto"/>
        <w:ind w:firstLine="420"/>
        <w:rPr>
          <w:b/>
          <w:sz w:val="21"/>
          <w:szCs w:val="21"/>
        </w:rPr>
      </w:pPr>
      <w:r>
        <w:rPr>
          <w:rStyle w:val="a7"/>
          <w:rFonts w:hint="eastAsia"/>
          <w:b w:val="0"/>
          <w:sz w:val="21"/>
          <w:szCs w:val="21"/>
        </w:rPr>
        <w:t>8</w:t>
      </w:r>
      <w:r>
        <w:rPr>
          <w:rStyle w:val="a7"/>
          <w:b w:val="0"/>
          <w:sz w:val="21"/>
          <w:szCs w:val="21"/>
        </w:rPr>
        <w:t xml:space="preserve"> </w:t>
      </w:r>
      <w:r>
        <w:rPr>
          <w:rStyle w:val="a7"/>
          <w:rFonts w:hint="eastAsia"/>
          <w:b w:val="0"/>
          <w:sz w:val="21"/>
          <w:szCs w:val="21"/>
        </w:rPr>
        <w:t>报告期末按公允价值占基金资产净值比例大小排序的前五名权证投资明细</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本基金本报告期末未持有权证投资。 </w:t>
      </w:r>
    </w:p>
    <w:p w:rsidR="002C1A0C" w:rsidRDefault="00864859">
      <w:pPr>
        <w:pStyle w:val="a5"/>
        <w:spacing w:before="0" w:beforeAutospacing="0" w:after="0" w:afterAutospacing="0" w:line="360" w:lineRule="auto"/>
        <w:ind w:firstLine="420"/>
        <w:rPr>
          <w:b/>
          <w:sz w:val="21"/>
          <w:szCs w:val="21"/>
        </w:rPr>
      </w:pPr>
      <w:r>
        <w:rPr>
          <w:rStyle w:val="a7"/>
          <w:rFonts w:hint="eastAsia"/>
          <w:b w:val="0"/>
          <w:sz w:val="21"/>
          <w:szCs w:val="21"/>
        </w:rPr>
        <w:t>9</w:t>
      </w:r>
      <w:r>
        <w:rPr>
          <w:rStyle w:val="a7"/>
          <w:b w:val="0"/>
          <w:sz w:val="21"/>
          <w:szCs w:val="21"/>
        </w:rPr>
        <w:t xml:space="preserve"> </w:t>
      </w:r>
      <w:r>
        <w:rPr>
          <w:rStyle w:val="a7"/>
          <w:rFonts w:hint="eastAsia"/>
          <w:b w:val="0"/>
          <w:sz w:val="21"/>
          <w:szCs w:val="21"/>
        </w:rPr>
        <w:t>报告期末本基金投资的股指期货交易情况说明</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本基金本报告期末未持有股指期货。 </w:t>
      </w:r>
    </w:p>
    <w:p w:rsidR="002C1A0C" w:rsidRDefault="00864859">
      <w:pPr>
        <w:pStyle w:val="a5"/>
        <w:spacing w:before="0" w:beforeAutospacing="0" w:after="0" w:afterAutospacing="0" w:line="360" w:lineRule="auto"/>
        <w:ind w:firstLine="420"/>
        <w:rPr>
          <w:b/>
          <w:sz w:val="21"/>
          <w:szCs w:val="21"/>
        </w:rPr>
      </w:pPr>
      <w:r>
        <w:rPr>
          <w:rStyle w:val="a7"/>
          <w:rFonts w:hint="eastAsia"/>
          <w:b w:val="0"/>
          <w:sz w:val="21"/>
          <w:szCs w:val="21"/>
        </w:rPr>
        <w:t>10</w:t>
      </w:r>
      <w:r>
        <w:rPr>
          <w:rStyle w:val="a7"/>
          <w:b w:val="0"/>
          <w:sz w:val="21"/>
          <w:szCs w:val="21"/>
        </w:rPr>
        <w:t xml:space="preserve"> </w:t>
      </w:r>
      <w:r>
        <w:rPr>
          <w:rStyle w:val="a7"/>
          <w:rFonts w:hint="eastAsia"/>
          <w:b w:val="0"/>
          <w:sz w:val="21"/>
          <w:szCs w:val="21"/>
        </w:rPr>
        <w:t>报告期末本基金投资的国债期货交易情况说明</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本基金本报告期末未持有国债期货。 </w:t>
      </w:r>
    </w:p>
    <w:p w:rsidR="002C1A0C" w:rsidRDefault="00864859">
      <w:pPr>
        <w:pStyle w:val="a5"/>
        <w:spacing w:before="0" w:beforeAutospacing="0" w:after="0" w:afterAutospacing="0" w:line="360" w:lineRule="auto"/>
        <w:ind w:firstLine="420"/>
        <w:rPr>
          <w:b/>
          <w:sz w:val="21"/>
          <w:szCs w:val="21"/>
        </w:rPr>
      </w:pPr>
      <w:r>
        <w:rPr>
          <w:rStyle w:val="a7"/>
          <w:rFonts w:hint="eastAsia"/>
          <w:b w:val="0"/>
          <w:sz w:val="21"/>
          <w:szCs w:val="21"/>
        </w:rPr>
        <w:t>11</w:t>
      </w:r>
      <w:r>
        <w:rPr>
          <w:rStyle w:val="a7"/>
          <w:b w:val="0"/>
          <w:sz w:val="21"/>
          <w:szCs w:val="21"/>
        </w:rPr>
        <w:t xml:space="preserve"> </w:t>
      </w:r>
      <w:r>
        <w:rPr>
          <w:rStyle w:val="a7"/>
          <w:rFonts w:hint="eastAsia"/>
          <w:b w:val="0"/>
          <w:sz w:val="21"/>
          <w:szCs w:val="21"/>
        </w:rPr>
        <w:t>投资组合报告附注</w:t>
      </w:r>
    </w:p>
    <w:p w:rsidR="002C1A0C" w:rsidRDefault="00864859">
      <w:pPr>
        <w:pStyle w:val="a5"/>
        <w:spacing w:before="0" w:beforeAutospacing="0" w:after="0" w:afterAutospacing="0" w:line="360" w:lineRule="auto"/>
        <w:ind w:firstLine="420"/>
        <w:rPr>
          <w:sz w:val="21"/>
          <w:szCs w:val="21"/>
        </w:rPr>
      </w:pPr>
      <w:r>
        <w:rPr>
          <w:rFonts w:hint="eastAsia"/>
          <w:sz w:val="21"/>
          <w:szCs w:val="21"/>
        </w:rPr>
        <w:t>11.1</w:t>
      </w:r>
      <w:r>
        <w:rPr>
          <w:sz w:val="21"/>
          <w:szCs w:val="21"/>
        </w:rPr>
        <w:t xml:space="preserve"> </w:t>
      </w:r>
      <w:r>
        <w:rPr>
          <w:rFonts w:hint="eastAsia"/>
          <w:sz w:val="21"/>
          <w:szCs w:val="21"/>
        </w:rPr>
        <w:t xml:space="preserve">报告期内基金投资的前十名证券的发行主体没有被监管部门立案调查，或在报告编制日前一年内受到公开谴责、处罚。 </w:t>
      </w:r>
    </w:p>
    <w:p w:rsidR="002C1A0C" w:rsidRDefault="00864859">
      <w:pPr>
        <w:pStyle w:val="a5"/>
        <w:spacing w:before="0" w:beforeAutospacing="0" w:after="0" w:afterAutospacing="0" w:line="360" w:lineRule="auto"/>
        <w:ind w:firstLine="420"/>
        <w:rPr>
          <w:sz w:val="21"/>
          <w:szCs w:val="21"/>
        </w:rPr>
      </w:pPr>
      <w:r>
        <w:rPr>
          <w:rFonts w:hint="eastAsia"/>
          <w:sz w:val="21"/>
          <w:szCs w:val="21"/>
        </w:rPr>
        <w:t>11.2</w:t>
      </w:r>
      <w:r>
        <w:rPr>
          <w:sz w:val="21"/>
          <w:szCs w:val="21"/>
        </w:rPr>
        <w:t xml:space="preserve"> </w:t>
      </w:r>
      <w:r>
        <w:rPr>
          <w:rFonts w:hint="eastAsia"/>
          <w:sz w:val="21"/>
          <w:szCs w:val="21"/>
        </w:rPr>
        <w:t xml:space="preserve">基金投资的前十名股票中，没有投资超出基金合同规定备选股票库之外的股票。 </w:t>
      </w:r>
    </w:p>
    <w:p w:rsidR="002C1A0C" w:rsidRDefault="00864859">
      <w:pPr>
        <w:pStyle w:val="a5"/>
        <w:spacing w:before="0" w:beforeAutospacing="0" w:after="0" w:afterAutospacing="0" w:line="360" w:lineRule="auto"/>
        <w:ind w:firstLine="420"/>
        <w:rPr>
          <w:sz w:val="21"/>
          <w:szCs w:val="21"/>
        </w:rPr>
      </w:pPr>
      <w:r>
        <w:rPr>
          <w:rFonts w:hint="eastAsia"/>
          <w:sz w:val="21"/>
          <w:szCs w:val="21"/>
        </w:rPr>
        <w:t>11.3</w:t>
      </w:r>
      <w:r>
        <w:rPr>
          <w:sz w:val="21"/>
          <w:szCs w:val="21"/>
        </w:rPr>
        <w:t xml:space="preserve"> </w:t>
      </w:r>
      <w:r>
        <w:rPr>
          <w:rFonts w:hint="eastAsia"/>
          <w:sz w:val="21"/>
          <w:szCs w:val="21"/>
        </w:rPr>
        <w:t xml:space="preserve">其他资产构成 </w:t>
      </w:r>
    </w:p>
    <w:tbl>
      <w:tblPr>
        <w:tblStyle w:val="a6"/>
        <w:tblW w:w="0" w:type="auto"/>
        <w:tblLook w:val="04A0" w:firstRow="1" w:lastRow="0" w:firstColumn="1" w:lastColumn="0" w:noHBand="0" w:noVBand="1"/>
      </w:tblPr>
      <w:tblGrid>
        <w:gridCol w:w="683"/>
        <w:gridCol w:w="2901"/>
        <w:gridCol w:w="4932"/>
      </w:tblGrid>
      <w:tr w:rsidR="002C1A0C">
        <w:tc>
          <w:tcPr>
            <w:tcW w:w="683"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序号</w:t>
            </w:r>
          </w:p>
        </w:tc>
        <w:tc>
          <w:tcPr>
            <w:tcW w:w="2901"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名称</w:t>
            </w:r>
          </w:p>
        </w:tc>
        <w:tc>
          <w:tcPr>
            <w:tcW w:w="4932"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金额</w:t>
            </w:r>
            <w:r>
              <w:rPr>
                <w:rFonts w:hint="eastAsia"/>
              </w:rPr>
              <w:t>(</w:t>
            </w:r>
            <w:r>
              <w:rPr>
                <w:rFonts w:hint="eastAsia"/>
              </w:rPr>
              <w:t>元</w:t>
            </w:r>
            <w:r>
              <w:rPr>
                <w:rFonts w:hint="eastAsia"/>
              </w:rPr>
              <w:t>)</w:t>
            </w:r>
          </w:p>
        </w:tc>
      </w:tr>
      <w:tr w:rsidR="002C1A0C">
        <w:tc>
          <w:tcPr>
            <w:tcW w:w="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1</w:t>
            </w:r>
          </w:p>
        </w:tc>
        <w:tc>
          <w:tcPr>
            <w:tcW w:w="290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存出保证金</w:t>
            </w:r>
          </w:p>
        </w:tc>
        <w:tc>
          <w:tcPr>
            <w:tcW w:w="4932"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125,320.85</w:t>
            </w:r>
          </w:p>
        </w:tc>
      </w:tr>
      <w:tr w:rsidR="002C1A0C">
        <w:tc>
          <w:tcPr>
            <w:tcW w:w="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2</w:t>
            </w:r>
          </w:p>
        </w:tc>
        <w:tc>
          <w:tcPr>
            <w:tcW w:w="290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应收证券清算款</w:t>
            </w:r>
          </w:p>
        </w:tc>
        <w:tc>
          <w:tcPr>
            <w:tcW w:w="4932"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1,667,743.70</w:t>
            </w:r>
          </w:p>
        </w:tc>
      </w:tr>
      <w:tr w:rsidR="002C1A0C">
        <w:tc>
          <w:tcPr>
            <w:tcW w:w="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3</w:t>
            </w:r>
          </w:p>
        </w:tc>
        <w:tc>
          <w:tcPr>
            <w:tcW w:w="290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应收股利</w:t>
            </w:r>
          </w:p>
        </w:tc>
        <w:tc>
          <w:tcPr>
            <w:tcW w:w="4932"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4</w:t>
            </w:r>
          </w:p>
        </w:tc>
        <w:tc>
          <w:tcPr>
            <w:tcW w:w="290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应收利息</w:t>
            </w:r>
          </w:p>
        </w:tc>
        <w:tc>
          <w:tcPr>
            <w:tcW w:w="4932"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13,618.73</w:t>
            </w:r>
          </w:p>
        </w:tc>
      </w:tr>
      <w:tr w:rsidR="002C1A0C">
        <w:tc>
          <w:tcPr>
            <w:tcW w:w="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5</w:t>
            </w:r>
          </w:p>
        </w:tc>
        <w:tc>
          <w:tcPr>
            <w:tcW w:w="290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应收申购款</w:t>
            </w:r>
          </w:p>
        </w:tc>
        <w:tc>
          <w:tcPr>
            <w:tcW w:w="4932"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6</w:t>
            </w:r>
          </w:p>
        </w:tc>
        <w:tc>
          <w:tcPr>
            <w:tcW w:w="290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其他应收款</w:t>
            </w:r>
          </w:p>
        </w:tc>
        <w:tc>
          <w:tcPr>
            <w:tcW w:w="4932"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7</w:t>
            </w:r>
          </w:p>
        </w:tc>
        <w:tc>
          <w:tcPr>
            <w:tcW w:w="290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待摊费用</w:t>
            </w:r>
          </w:p>
        </w:tc>
        <w:tc>
          <w:tcPr>
            <w:tcW w:w="4932"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lastRenderedPageBreak/>
              <w:t>8</w:t>
            </w:r>
          </w:p>
        </w:tc>
        <w:tc>
          <w:tcPr>
            <w:tcW w:w="290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其他</w:t>
            </w:r>
          </w:p>
        </w:tc>
        <w:tc>
          <w:tcPr>
            <w:tcW w:w="4932"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w:t>
            </w:r>
          </w:p>
        </w:tc>
      </w:tr>
      <w:tr w:rsidR="002C1A0C">
        <w:tc>
          <w:tcPr>
            <w:tcW w:w="68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9</w:t>
            </w:r>
          </w:p>
        </w:tc>
        <w:tc>
          <w:tcPr>
            <w:tcW w:w="2901"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合计</w:t>
            </w:r>
          </w:p>
        </w:tc>
        <w:tc>
          <w:tcPr>
            <w:tcW w:w="4932"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1,806,683.28</w:t>
            </w:r>
          </w:p>
        </w:tc>
      </w:tr>
    </w:tbl>
    <w:p w:rsidR="002C1A0C" w:rsidRDefault="00864859">
      <w:pPr>
        <w:pStyle w:val="a5"/>
        <w:spacing w:before="0" w:beforeAutospacing="0" w:after="0" w:afterAutospacing="0" w:line="360" w:lineRule="auto"/>
        <w:ind w:firstLine="420"/>
        <w:rPr>
          <w:sz w:val="21"/>
          <w:szCs w:val="21"/>
        </w:rPr>
      </w:pPr>
      <w:r>
        <w:rPr>
          <w:rFonts w:hint="eastAsia"/>
          <w:sz w:val="21"/>
          <w:szCs w:val="21"/>
        </w:rPr>
        <w:t>11.4</w:t>
      </w:r>
      <w:r>
        <w:rPr>
          <w:sz w:val="21"/>
          <w:szCs w:val="21"/>
        </w:rPr>
        <w:t xml:space="preserve"> </w:t>
      </w:r>
      <w:r>
        <w:rPr>
          <w:rFonts w:hint="eastAsia"/>
          <w:sz w:val="21"/>
          <w:szCs w:val="21"/>
        </w:rPr>
        <w:t xml:space="preserve">报告期末持有的处于转股期的可转换债券明细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本基金本报告期末未持有处于转股期的可转换债券。 </w:t>
      </w:r>
    </w:p>
    <w:p w:rsidR="002C1A0C" w:rsidRDefault="00864859">
      <w:pPr>
        <w:pStyle w:val="a5"/>
        <w:spacing w:before="0" w:beforeAutospacing="0" w:after="0" w:afterAutospacing="0" w:line="360" w:lineRule="auto"/>
        <w:ind w:firstLine="420"/>
        <w:rPr>
          <w:sz w:val="21"/>
          <w:szCs w:val="21"/>
        </w:rPr>
      </w:pPr>
      <w:r>
        <w:rPr>
          <w:rFonts w:hint="eastAsia"/>
          <w:sz w:val="21"/>
          <w:szCs w:val="21"/>
        </w:rPr>
        <w:t>11.5</w:t>
      </w:r>
      <w:r>
        <w:rPr>
          <w:sz w:val="21"/>
          <w:szCs w:val="21"/>
        </w:rPr>
        <w:t xml:space="preserve"> </w:t>
      </w:r>
      <w:r>
        <w:rPr>
          <w:rFonts w:hint="eastAsia"/>
          <w:sz w:val="21"/>
          <w:szCs w:val="21"/>
        </w:rPr>
        <w:t xml:space="preserve">报告期末前十名股票中存在流通受限情况的说明 </w:t>
      </w:r>
    </w:p>
    <w:tbl>
      <w:tblPr>
        <w:tblStyle w:val="a6"/>
        <w:tblW w:w="8897" w:type="dxa"/>
        <w:tblLook w:val="04A0" w:firstRow="1" w:lastRow="0" w:firstColumn="1" w:lastColumn="0" w:noHBand="0" w:noVBand="1"/>
      </w:tblPr>
      <w:tblGrid>
        <w:gridCol w:w="673"/>
        <w:gridCol w:w="1108"/>
        <w:gridCol w:w="1162"/>
        <w:gridCol w:w="2977"/>
        <w:gridCol w:w="1418"/>
        <w:gridCol w:w="1559"/>
      </w:tblGrid>
      <w:tr w:rsidR="002C1A0C">
        <w:tc>
          <w:tcPr>
            <w:tcW w:w="673"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序号</w:t>
            </w:r>
          </w:p>
        </w:tc>
        <w:tc>
          <w:tcPr>
            <w:tcW w:w="1108"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股票代码</w:t>
            </w:r>
          </w:p>
        </w:tc>
        <w:tc>
          <w:tcPr>
            <w:tcW w:w="1162"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股票名称</w:t>
            </w:r>
          </w:p>
        </w:tc>
        <w:tc>
          <w:tcPr>
            <w:tcW w:w="2977"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流通受限部分的公允价值</w:t>
            </w:r>
            <w:r>
              <w:rPr>
                <w:rFonts w:hint="eastAsia"/>
              </w:rPr>
              <w:t>(</w:t>
            </w:r>
            <w:r>
              <w:rPr>
                <w:rFonts w:hint="eastAsia"/>
              </w:rPr>
              <w:t>元</w:t>
            </w:r>
            <w:r>
              <w:rPr>
                <w:rFonts w:hint="eastAsia"/>
              </w:rPr>
              <w:t>)</w:t>
            </w:r>
          </w:p>
        </w:tc>
        <w:tc>
          <w:tcPr>
            <w:tcW w:w="1418"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占基金资产净值比例</w:t>
            </w:r>
            <w:r>
              <w:rPr>
                <w:rFonts w:hint="eastAsia"/>
              </w:rPr>
              <w:t>(%)</w:t>
            </w:r>
          </w:p>
        </w:tc>
        <w:tc>
          <w:tcPr>
            <w:tcW w:w="1559"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流通受限情况说明</w:t>
            </w:r>
          </w:p>
        </w:tc>
      </w:tr>
      <w:tr w:rsidR="002C1A0C">
        <w:tc>
          <w:tcPr>
            <w:tcW w:w="673"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1</w:t>
            </w:r>
          </w:p>
        </w:tc>
        <w:tc>
          <w:tcPr>
            <w:tcW w:w="1108"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300207</w:t>
            </w:r>
          </w:p>
        </w:tc>
        <w:tc>
          <w:tcPr>
            <w:tcW w:w="1162" w:type="dxa"/>
            <w:shd w:val="clear" w:color="auto" w:fill="auto"/>
          </w:tcPr>
          <w:p w:rsidR="002C1A0C" w:rsidRDefault="00864859">
            <w:pPr>
              <w:spacing w:beforeAutospacing="1" w:afterAutospacing="1"/>
              <w:jc w:val="center"/>
              <w:rPr>
                <w:rFonts w:ascii="宋体" w:eastAsia="宋体" w:hAnsi="宋体" w:cs="宋体"/>
                <w:szCs w:val="24"/>
              </w:rPr>
            </w:pPr>
            <w:r>
              <w:rPr>
                <w:rFonts w:hint="eastAsia"/>
              </w:rPr>
              <w:t>欣旺达</w:t>
            </w:r>
          </w:p>
        </w:tc>
        <w:tc>
          <w:tcPr>
            <w:tcW w:w="2977"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2,938,000.00</w:t>
            </w:r>
          </w:p>
        </w:tc>
        <w:tc>
          <w:tcPr>
            <w:tcW w:w="1418" w:type="dxa"/>
            <w:shd w:val="clear" w:color="auto" w:fill="auto"/>
          </w:tcPr>
          <w:p w:rsidR="002C1A0C" w:rsidRDefault="00864859">
            <w:pPr>
              <w:spacing w:beforeAutospacing="1" w:afterAutospacing="1"/>
              <w:jc w:val="right"/>
              <w:rPr>
                <w:rFonts w:ascii="宋体" w:eastAsia="宋体" w:hAnsi="宋体" w:cs="宋体"/>
                <w:szCs w:val="24"/>
              </w:rPr>
            </w:pPr>
            <w:r>
              <w:rPr>
                <w:rFonts w:hint="eastAsia"/>
              </w:rPr>
              <w:t>1.09</w:t>
            </w:r>
          </w:p>
        </w:tc>
        <w:tc>
          <w:tcPr>
            <w:tcW w:w="1559" w:type="dxa"/>
            <w:shd w:val="clear" w:color="auto" w:fill="auto"/>
          </w:tcPr>
          <w:p w:rsidR="002C1A0C" w:rsidRDefault="00864859">
            <w:pPr>
              <w:spacing w:beforeAutospacing="1" w:afterAutospacing="1"/>
              <w:jc w:val="left"/>
              <w:rPr>
                <w:rFonts w:ascii="宋体" w:eastAsia="宋体" w:hAnsi="宋体" w:cs="宋体"/>
                <w:szCs w:val="24"/>
              </w:rPr>
            </w:pPr>
            <w:r>
              <w:rPr>
                <w:rFonts w:hint="eastAsia"/>
              </w:rPr>
              <w:t>大宗交易限售</w:t>
            </w:r>
          </w:p>
        </w:tc>
      </w:tr>
    </w:tbl>
    <w:p w:rsidR="002C1A0C" w:rsidRDefault="00864859">
      <w:pPr>
        <w:pStyle w:val="a5"/>
        <w:spacing w:before="0" w:beforeAutospacing="0" w:after="0" w:afterAutospacing="0" w:line="360" w:lineRule="auto"/>
        <w:ind w:firstLine="420"/>
        <w:rPr>
          <w:sz w:val="21"/>
          <w:szCs w:val="21"/>
        </w:rPr>
      </w:pPr>
      <w:r>
        <w:rPr>
          <w:rFonts w:hint="eastAsia"/>
          <w:sz w:val="21"/>
          <w:szCs w:val="21"/>
        </w:rPr>
        <w:t>11.6</w:t>
      </w:r>
      <w:r>
        <w:rPr>
          <w:sz w:val="21"/>
          <w:szCs w:val="21"/>
        </w:rPr>
        <w:t xml:space="preserve"> </w:t>
      </w:r>
      <w:r>
        <w:rPr>
          <w:rFonts w:hint="eastAsia"/>
          <w:sz w:val="21"/>
          <w:szCs w:val="21"/>
        </w:rPr>
        <w:t xml:space="preserve">投资组合报告附注的其他文字描述部分 </w:t>
      </w:r>
    </w:p>
    <w:p w:rsidR="002C1A0C" w:rsidRDefault="00864859">
      <w:pPr>
        <w:pStyle w:val="a5"/>
        <w:spacing w:before="0" w:beforeAutospacing="0" w:after="0" w:afterAutospacing="0" w:line="360" w:lineRule="auto"/>
        <w:ind w:firstLine="420"/>
        <w:rPr>
          <w:sz w:val="21"/>
          <w:szCs w:val="21"/>
        </w:rPr>
      </w:pPr>
      <w:bookmarkStart w:id="141" w:name="chapter_level1_11_60_section_6_end"/>
      <w:bookmarkEnd w:id="141"/>
      <w:r>
        <w:rPr>
          <w:rFonts w:hint="eastAsia"/>
          <w:sz w:val="21"/>
          <w:szCs w:val="21"/>
        </w:rPr>
        <w:t xml:space="preserve">由于四舍五入的原因，分项之和与合计项之间可能存在尾差。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42" w:name="_Toc27511771"/>
      <w:bookmarkStart w:id="143" w:name="chapter_level1_12_3500"/>
      <w:r>
        <w:rPr>
          <w:rFonts w:ascii="宋体" w:eastAsia="宋体" w:hAnsi="宋体" w:hint="eastAsia"/>
          <w:sz w:val="30"/>
        </w:rPr>
        <w:lastRenderedPageBreak/>
        <w:t>第九部分 基金的业绩</w:t>
      </w:r>
      <w:bookmarkEnd w:id="142"/>
      <w:bookmarkEnd w:id="143"/>
    </w:p>
    <w:p w:rsidR="002C1A0C" w:rsidRDefault="002C1A0C">
      <w:pPr>
        <w:pStyle w:val="a5"/>
        <w:spacing w:before="0" w:beforeAutospacing="0" w:after="0" w:afterAutospacing="0" w:line="360" w:lineRule="auto"/>
        <w:ind w:firstLine="420"/>
        <w:rPr>
          <w:sz w:val="21"/>
          <w:szCs w:val="21"/>
        </w:rPr>
      </w:pPr>
      <w:bookmarkStart w:id="144" w:name="chapter_level1_12_3500_section_1"/>
      <w:bookmarkEnd w:id="144"/>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自基金合同生效开始，基金份额净值增长率及其与同期业绩比较基准收益率的比较 </w:t>
      </w:r>
    </w:p>
    <w:p w:rsidR="002C1A0C" w:rsidRDefault="00864859">
      <w:pPr>
        <w:pStyle w:val="a5"/>
        <w:spacing w:before="0" w:beforeAutospacing="0" w:after="0" w:afterAutospacing="0" w:line="360" w:lineRule="auto"/>
        <w:ind w:firstLine="420"/>
        <w:rPr>
          <w:sz w:val="21"/>
          <w:szCs w:val="21"/>
        </w:rPr>
      </w:pPr>
      <w:bookmarkStart w:id="145" w:name="field_0_indatatable_1_start"/>
      <w:bookmarkEnd w:id="145"/>
      <w:r>
        <w:rPr>
          <w:rFonts w:hint="eastAsia"/>
          <w:sz w:val="21"/>
          <w:szCs w:val="21"/>
        </w:rPr>
        <w:t xml:space="preserve">博时荣享回报混合A </w:t>
      </w:r>
    </w:p>
    <w:tbl>
      <w:tblPr>
        <w:tblStyle w:val="a6"/>
        <w:tblW w:w="0" w:type="auto"/>
        <w:tblLook w:val="04A0" w:firstRow="1" w:lastRow="0" w:firstColumn="1" w:lastColumn="0" w:noHBand="0" w:noVBand="1"/>
      </w:tblPr>
      <w:tblGrid>
        <w:gridCol w:w="2421"/>
        <w:gridCol w:w="982"/>
        <w:gridCol w:w="1037"/>
        <w:gridCol w:w="1165"/>
        <w:gridCol w:w="1219"/>
        <w:gridCol w:w="846"/>
        <w:gridCol w:w="846"/>
      </w:tblGrid>
      <w:tr w:rsidR="002C1A0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期间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①净值增长率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②净值增长率标准差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③业绩比较基准收益率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④业绩比较基准收益率标准差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①-③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②-④ </w:t>
            </w:r>
          </w:p>
        </w:tc>
      </w:tr>
      <w:tr w:rsidR="002C1A0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2018.08.23-2018.12.31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-0.52%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0.30%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-5.29%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1.02%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4.77%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-0.72% </w:t>
            </w:r>
          </w:p>
        </w:tc>
      </w:tr>
      <w:tr w:rsidR="002C1A0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2019.01.01-2019.09.30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24.04%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0.87%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14.49%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0.83%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9.55%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0.04% </w:t>
            </w:r>
          </w:p>
        </w:tc>
      </w:tr>
      <w:tr w:rsidR="002C1A0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2018.08.23-2019.09.30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23.40%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0.74%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8.43%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0.90%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14.97%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-0.16% </w:t>
            </w:r>
          </w:p>
        </w:tc>
      </w:tr>
    </w:tbl>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博时荣享回报混合C </w:t>
      </w:r>
    </w:p>
    <w:tbl>
      <w:tblPr>
        <w:tblStyle w:val="a6"/>
        <w:tblW w:w="0" w:type="auto"/>
        <w:tblLook w:val="04A0" w:firstRow="1" w:lastRow="0" w:firstColumn="1" w:lastColumn="0" w:noHBand="0" w:noVBand="1"/>
      </w:tblPr>
      <w:tblGrid>
        <w:gridCol w:w="2421"/>
        <w:gridCol w:w="982"/>
        <w:gridCol w:w="1037"/>
        <w:gridCol w:w="1165"/>
        <w:gridCol w:w="1219"/>
        <w:gridCol w:w="846"/>
        <w:gridCol w:w="846"/>
      </w:tblGrid>
      <w:tr w:rsidR="002C1A0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期间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①净值增长率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②净值增长率标准差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③业绩比较基准收益率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④业绩比较基准收益率标准差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①-③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②-④ </w:t>
            </w:r>
          </w:p>
        </w:tc>
      </w:tr>
      <w:tr w:rsidR="002C1A0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2018.08.23-2018.12.31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-0.70%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0.30%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-5.29%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1.02%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4.59%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-0.72% </w:t>
            </w:r>
          </w:p>
        </w:tc>
      </w:tr>
      <w:tr w:rsidR="002C1A0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2019.01.01-2019.09.30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23.58%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0.87%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14.49%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0.83%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9.09%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0.04% </w:t>
            </w:r>
          </w:p>
        </w:tc>
      </w:tr>
      <w:tr w:rsidR="002C1A0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2018.08.23-2019.09.30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22.71%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0.74%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8.43%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0.90%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14.28% </w:t>
            </w:r>
          </w:p>
        </w:tc>
        <w:tc>
          <w:tcPr>
            <w:tcW w:w="0" w:type="auto"/>
            <w:shd w:val="clear" w:color="auto" w:fill="auto"/>
          </w:tcPr>
          <w:p w:rsidR="002C1A0C" w:rsidRDefault="00864859">
            <w:pPr>
              <w:jc w:val="center"/>
              <w:rPr>
                <w:rFonts w:ascii="宋体" w:eastAsia="宋体" w:hAnsi="宋体" w:cs="宋体"/>
                <w:szCs w:val="24"/>
              </w:rPr>
            </w:pPr>
            <w:r>
              <w:rPr>
                <w:rFonts w:ascii="宋体" w:eastAsia="宋体" w:hAnsi="宋体" w:hint="eastAsia"/>
              </w:rPr>
              <w:t xml:space="preserve">-0.16% </w:t>
            </w:r>
          </w:p>
        </w:tc>
      </w:tr>
    </w:tbl>
    <w:p w:rsidR="002C1A0C" w:rsidRDefault="00864859">
      <w:pPr>
        <w:pStyle w:val="a5"/>
        <w:spacing w:before="0" w:beforeAutospacing="0" w:after="0" w:afterAutospacing="0" w:line="360" w:lineRule="auto"/>
        <w:ind w:firstLine="420"/>
        <w:rPr>
          <w:sz w:val="21"/>
          <w:szCs w:val="21"/>
        </w:rPr>
      </w:pPr>
      <w:bookmarkStart w:id="146" w:name="field_0_indatatable_1_end"/>
      <w:bookmarkEnd w:id="146"/>
      <w:r>
        <w:rPr>
          <w:sz w:val="21"/>
          <w:szCs w:val="21"/>
        </w:rPr>
        <w:t xml:space="preserve"> </w:t>
      </w:r>
      <w:r>
        <w:rPr>
          <w:rFonts w:hint="eastAsia"/>
          <w:sz w:val="21"/>
          <w:szCs w:val="21"/>
        </w:rPr>
        <w:t xml:space="preserve"> </w:t>
      </w:r>
    </w:p>
    <w:p w:rsidR="002C1A0C" w:rsidRDefault="002C1A0C">
      <w:pPr>
        <w:pStyle w:val="a5"/>
        <w:spacing w:before="0" w:beforeAutospacing="0" w:after="0" w:afterAutospacing="0" w:line="360" w:lineRule="auto"/>
        <w:ind w:firstLine="420"/>
        <w:rPr>
          <w:sz w:val="21"/>
          <w:szCs w:val="21"/>
        </w:rPr>
      </w:pPr>
      <w:bookmarkStart w:id="147" w:name="chapter_level1_12_3500_section_1_end"/>
      <w:bookmarkEnd w:id="147"/>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48" w:name="chapter_level1_13_62"/>
      <w:bookmarkStart w:id="149" w:name="_Toc27511772"/>
      <w:r>
        <w:rPr>
          <w:rFonts w:ascii="宋体" w:eastAsia="宋体" w:hAnsi="宋体" w:hint="eastAsia"/>
          <w:sz w:val="30"/>
        </w:rPr>
        <w:lastRenderedPageBreak/>
        <w:t>第十部分  基金的财产</w:t>
      </w:r>
      <w:bookmarkEnd w:id="148"/>
      <w:bookmarkEnd w:id="149"/>
    </w:p>
    <w:p w:rsidR="002C1A0C" w:rsidRDefault="00864859">
      <w:pPr>
        <w:pStyle w:val="a5"/>
        <w:spacing w:before="0" w:beforeAutospacing="0" w:after="0" w:afterAutospacing="0" w:line="360" w:lineRule="auto"/>
        <w:ind w:firstLine="420"/>
        <w:rPr>
          <w:sz w:val="21"/>
          <w:szCs w:val="21"/>
        </w:rPr>
      </w:pPr>
      <w:bookmarkStart w:id="150" w:name="chapter_level1_13_62_section_1"/>
      <w:bookmarkEnd w:id="150"/>
      <w:r>
        <w:rPr>
          <w:rStyle w:val="a7"/>
          <w:rFonts w:hint="eastAsia"/>
          <w:sz w:val="21"/>
          <w:szCs w:val="21"/>
        </w:rPr>
        <w:t>一、基金资产总值</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基金资产总值是指基金拥有的各类有价证券、银行存款本息和基金应收款项以及其他资产的价值总和。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二、基金资产净值</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基金资产净值是指基金资产总值减去基金负债后的价值。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三、基金财产的账户</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四、基金财产的保管和处分</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w:t>
      </w:r>
      <w:bookmarkStart w:id="151" w:name="chapter_level1_13_62_section_1_end"/>
      <w:bookmarkEnd w:id="151"/>
      <w:r>
        <w:rPr>
          <w:rFonts w:hint="eastAsia"/>
          <w:sz w:val="21"/>
          <w:szCs w:val="21"/>
        </w:rPr>
        <w:t xml:space="preserve">得相互抵销。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52" w:name="chapter_level1_14_63"/>
      <w:bookmarkStart w:id="153" w:name="_Toc27511773"/>
      <w:r>
        <w:rPr>
          <w:rFonts w:ascii="宋体" w:eastAsia="宋体" w:hAnsi="宋体" w:hint="eastAsia"/>
          <w:sz w:val="30"/>
        </w:rPr>
        <w:lastRenderedPageBreak/>
        <w:t>第十一部分  基金资产的估值</w:t>
      </w:r>
      <w:bookmarkEnd w:id="152"/>
      <w:bookmarkEnd w:id="153"/>
    </w:p>
    <w:p w:rsidR="002C1A0C" w:rsidRDefault="00864859">
      <w:pPr>
        <w:pStyle w:val="a5"/>
        <w:spacing w:before="0" w:beforeAutospacing="0" w:after="0" w:afterAutospacing="0" w:line="360" w:lineRule="auto"/>
        <w:ind w:firstLine="420"/>
        <w:rPr>
          <w:sz w:val="21"/>
          <w:szCs w:val="21"/>
        </w:rPr>
      </w:pPr>
      <w:bookmarkStart w:id="154" w:name="chapter_level1_14_63_section_1"/>
      <w:bookmarkEnd w:id="154"/>
      <w:r>
        <w:rPr>
          <w:rStyle w:val="a7"/>
          <w:rFonts w:hint="eastAsia"/>
          <w:sz w:val="21"/>
          <w:szCs w:val="21"/>
        </w:rPr>
        <w:t>一、估值日</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本基金的估值日为本基金相关的证券交易场所的交易日以及国家法律法规规定需要对外披露基金净值的非交易日。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二、估值对象</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基金所拥有的股票、期货合约、权证、债券和银行存款本息、应收款项、其它投资等资产及负债。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三、估值方法</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（2）交易所上市交易或挂牌转让的固定收益品种（基金合同另有规定的除外），选取估值日第三方估值机构提供的相应品种对应的估值净价估值，具体估值机构由基金管理人与托管人另行协商约定.；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交易所上市交易的可转换债券按估值日收盘价减去债券收盘价中所含的债券应收利息得到的净价进行估值；估值日没有交易的，且最近交易日后经济环境未发生重大变化，按最近交易日固定收益品种收盘价减去固定收益品种收盘价中所含的固定收益品种应收利息得到的净价进行估值。如最近交易日后经济环境发生了重大变化的，可参考类似投资品种的现行市价及重大变化因素，调整最近交易市价，确定公允价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交易所上市实行全价交易的固定收益品种（可转换债券除外），选取第三方估值机构提供的估值全价减去估值全价中所含的固定收益品种（税后）应收利息得到的净价进行估值；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（4）交易所上市不存在活跃市场的有价证券，采用估值技术确定公允价值。交易所上市的资产支持证券，采用估值技术确定公允价值，在估值技术难以可靠计量公允价值的情况下，按成本估值。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（1）送股、转增股、配股和公开增发的新股，按估值日在证券交易所挂牌的同一股票的估值方法估值；该日无交易的，以最近一日的市价（收盘价）估值；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（2）首次公开发行未上市的股票、债券和权证，采用估值技术确定公允价值，在估值技术难以可靠计量公允价值的情况下，按成本估值；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3、对全国银行间债券市场上的固定收益品种，按照第三方估值机构提供的相应品种当日的估值净价估值。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4、同一固定收益品种同时在两个或两个以上市场交易的，按所处的市场分别估值。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5、本基金投资股指期货合约、国债期货合约，一般以估值当日结算价进行估值，估值当日无结算价的，且最近交易日后经济环境未发生重大变化的，采用最近交易日结算价估值。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7、汇率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对港股通标的股票估值时，先根据外币行情价格和持仓量计算出外币市值，再根据汇率折算成保留两位小数的人民币市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8、当发生大额申购或赎回情形时，基金管理人可以采用摆动定价机制，以确保基金估值的公平性。具体处理原则与操作规范遵循相关法律法规以及监管部门、自律规则的规定。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10、相关法律法规以及监管部门有强制规定的，从其规定。如有新增事项，按国家最新规定估值。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w:t>
      </w:r>
      <w:bookmarkStart w:id="155" w:name="chapter_level1_14_63_section_1_end"/>
      <w:bookmarkEnd w:id="155"/>
      <w:r>
        <w:rPr>
          <w:rFonts w:hint="eastAsia"/>
          <w:sz w:val="21"/>
          <w:szCs w:val="21"/>
        </w:rPr>
        <w:t xml:space="preserve">结果对外予以公布。 </w:t>
      </w:r>
    </w:p>
    <w:p w:rsidR="002C1A0C" w:rsidRDefault="00864859">
      <w:pPr>
        <w:pStyle w:val="a5"/>
        <w:spacing w:before="0" w:beforeAutospacing="0" w:after="0" w:afterAutospacing="0" w:line="360" w:lineRule="auto"/>
        <w:ind w:firstLine="420"/>
        <w:rPr>
          <w:sz w:val="21"/>
          <w:szCs w:val="21"/>
        </w:rPr>
      </w:pPr>
      <w:bookmarkStart w:id="156" w:name="chapter_level1_14_63_section_2"/>
      <w:bookmarkEnd w:id="156"/>
      <w:r>
        <w:rPr>
          <w:rStyle w:val="a7"/>
          <w:rFonts w:hint="eastAsia"/>
          <w:sz w:val="21"/>
          <w:szCs w:val="21"/>
        </w:rPr>
        <w:t>四、估值程序</w:t>
      </w:r>
    </w:p>
    <w:p w:rsidR="002C1A0C" w:rsidRDefault="00864859">
      <w:pPr>
        <w:pStyle w:val="a5"/>
        <w:spacing w:before="0" w:beforeAutospacing="0" w:after="0" w:afterAutospacing="0" w:line="360" w:lineRule="auto"/>
        <w:ind w:firstLine="420"/>
        <w:rPr>
          <w:sz w:val="21"/>
          <w:szCs w:val="21"/>
        </w:rPr>
      </w:pPr>
      <w:r>
        <w:rPr>
          <w:rFonts w:hint="eastAsia"/>
          <w:sz w:val="21"/>
          <w:szCs w:val="21"/>
        </w:rPr>
        <w:t>1、基金份额净值是按照每个工作日闭市后，基金资产净值除以当日该类基金份额的余额数量计算，精确到</w:t>
      </w:r>
      <w:bookmarkStart w:id="157" w:name="field_63_netdecimalvalue_1"/>
      <w:r>
        <w:rPr>
          <w:sz w:val="21"/>
          <w:szCs w:val="21"/>
        </w:rPr>
        <w:t>0.0001</w:t>
      </w:r>
      <w:bookmarkEnd w:id="157"/>
      <w:r>
        <w:rPr>
          <w:rFonts w:hint="eastAsia"/>
          <w:sz w:val="21"/>
          <w:szCs w:val="21"/>
        </w:rPr>
        <w:t xml:space="preserve">元，小数点后第5位四舍五入。国家另有规定的，从其规定。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基金管理人于每个工作日计算基金资产净值及各类基金份额净值，并按规定公告。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五、估值错误的处理</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基金管理人和基金托管人将采取必要、适当、合理的措施确保基金资产估值的准确性、及时性。当基金份额净值小数点后</w:t>
      </w:r>
      <w:bookmarkStart w:id="158" w:name="field_63_netdecimal_1"/>
      <w:r>
        <w:rPr>
          <w:sz w:val="21"/>
          <w:szCs w:val="21"/>
        </w:rPr>
        <w:t>4</w:t>
      </w:r>
      <w:bookmarkEnd w:id="158"/>
      <w:r>
        <w:rPr>
          <w:rFonts w:hint="eastAsia"/>
          <w:sz w:val="21"/>
          <w:szCs w:val="21"/>
        </w:rPr>
        <w:t>位以内(含第</w:t>
      </w:r>
      <w:bookmarkStart w:id="159" w:name="field_63_netdecimal_2"/>
      <w:r>
        <w:rPr>
          <w:sz w:val="21"/>
          <w:szCs w:val="21"/>
        </w:rPr>
        <w:t>4</w:t>
      </w:r>
      <w:bookmarkEnd w:id="159"/>
      <w:r>
        <w:rPr>
          <w:rFonts w:hint="eastAsia"/>
          <w:sz w:val="21"/>
          <w:szCs w:val="21"/>
        </w:rPr>
        <w:t xml:space="preserve">位)发生估值错误时，视为基金份额净值错误。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基金合同的当事人应按照以下约定处理：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1、估值错误类型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上述估值错误的主要类型包括但不限于：资料申报差错、数据传输差错、数据计算差错、系统故障差错、下达指令差错等。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2、估值错误处理原则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（2）估值错误的责任方对有关当事人的直接损失负责，不对间接损失负责，并且仅对估值错误的有关直接当事人负责，不对第三方负责。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（4）估值错误调整采用尽量恢复至假设未发生估值错误的正确情形的方式。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3、估值错误处理程序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估值错误被发现后，有关的当事人应当及时进行处理，处理的程序如下：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（1）查明估值错误发生的原因，列明所有的当事人，并根据估值错误发生的原因确定估值错误的责任方；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（2）根据估值错误处理原则或当事人协商的方法对因估值错误造成的损失进行评估；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（3）根据估值错误处理原则或当事人协商的方法由估值错误的责任方进行更正和赔偿损失；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（4）根据估值错误处理的方法，需要修改基金登记机构交易数据的，由基金登记机构进行更正，并就估值错误的更正向有关当事人进行确认。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4、基金份额净值估值错误处理的方法如下：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（1）基金份额净值计算出现错误时，基金管理人应当立即予以纠正，通报基金托管人，并采取合理的措施防止损失进一步扩大。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（2）错误偏差达到基金资产净值的0.25%时，基金管理人应当通报基金托管人并报中国证监会备案；错误偏差达到基金资产净值的0.5%时，基金管理人应当公告。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（3）前述内容如法律法规或监管机关另有规定的，从其规定处理。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六、暂停估值的情形</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1、基金投资所涉及的证券、期货交易市场遇法定节假日或因其他原因暂停营业时；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2、因不可抗力或其他情形致使基金管理人、基金托管人无法准确评估基金资产价值时；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3、当前一估值日基金资产净值50%以上的资产出现无可参考的活跃市场价格且采用估值技术仍导致公允价值存在重大不确定性时，经与基金托管人协商一致确认后，应当暂停估值；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4、中国证监会和基金合同认定的其它情形。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七、基金净值的确认</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约定予以公布。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八、特殊情况的处理</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1、基金管理人或基金托管人按估值方法的第9项进行估值时，所造成的误差不作为基金资产估值错误处理。 </w:t>
      </w:r>
    </w:p>
    <w:p w:rsidR="002C1A0C" w:rsidRDefault="00864859">
      <w:pPr>
        <w:pStyle w:val="a5"/>
        <w:spacing w:before="0" w:beforeAutospacing="0" w:after="0" w:afterAutospacing="0" w:line="360" w:lineRule="auto"/>
        <w:ind w:firstLine="420"/>
        <w:rPr>
          <w:sz w:val="21"/>
          <w:szCs w:val="21"/>
        </w:rPr>
      </w:pPr>
      <w:r>
        <w:rPr>
          <w:rFonts w:hint="eastAsia"/>
          <w:sz w:val="21"/>
          <w:szCs w:val="21"/>
        </w:rPr>
        <w:t>2、由于不可抗力原因，或由于证券、期货交易所或登记结算公司等机构发送的数据错误等原因，基金管理人和基金托管人虽然已经采取必要、适当、合理的措施进行检查，但是未能发现该错误的，由此造成的基金资产估值错误，基金管理人和基金托管人可以免除赔偿</w:t>
      </w:r>
      <w:bookmarkStart w:id="160" w:name="chapter_level1_14_63_section_2_end"/>
      <w:bookmarkEnd w:id="160"/>
      <w:r>
        <w:rPr>
          <w:rFonts w:hint="eastAsia"/>
          <w:sz w:val="21"/>
          <w:szCs w:val="21"/>
        </w:rPr>
        <w:t xml:space="preserve">责任。但基金管理人和基金托管人应当积极采取必要的措施消除或减轻由此造成的影响。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61" w:name="chapter_level1_15_64"/>
      <w:bookmarkStart w:id="162" w:name="_Toc27511774"/>
      <w:r>
        <w:rPr>
          <w:rFonts w:ascii="宋体" w:eastAsia="宋体" w:hAnsi="宋体" w:hint="eastAsia"/>
          <w:sz w:val="30"/>
        </w:rPr>
        <w:lastRenderedPageBreak/>
        <w:t>第十二部分  基金的收益与分配</w:t>
      </w:r>
      <w:bookmarkEnd w:id="161"/>
      <w:bookmarkEnd w:id="162"/>
    </w:p>
    <w:p w:rsidR="002C1A0C" w:rsidRDefault="00864859">
      <w:pPr>
        <w:pStyle w:val="a5"/>
        <w:spacing w:before="0" w:beforeAutospacing="0" w:after="0" w:afterAutospacing="0" w:line="360" w:lineRule="auto"/>
        <w:ind w:firstLine="420"/>
        <w:rPr>
          <w:sz w:val="21"/>
          <w:szCs w:val="21"/>
        </w:rPr>
      </w:pPr>
      <w:bookmarkStart w:id="163" w:name="chapter_level1_15_64_section_1"/>
      <w:bookmarkEnd w:id="163"/>
      <w:r>
        <w:rPr>
          <w:rStyle w:val="a7"/>
          <w:rFonts w:hint="eastAsia"/>
          <w:sz w:val="21"/>
          <w:szCs w:val="21"/>
        </w:rPr>
        <w:t>一、基金利润的构成</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二、基金可供分配利润</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基金可供分配利润指截至收益分配基准日基金未分配利润与未分配利润中已实现收益的孰低数。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三、基金收益分配原则</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1、由于本基金A类基金份额不收取销售服务费，而C类基金份额收取销售服务费，各基金份额类别对应的可供分配利润将有所不同，本基金同一类别的每一基金份额享有同等分配权；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2、在符合有关基金分红条件的前提下，基金收益每年至少分配一次，基金每次收益分配比例最低不低于已实现收益的50％，但若基金合同生效不满3个月则可不进行收益分配；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本基金收益分配方式分两种：现金分红与红利再投资，投资者可选择现金分红或将现金分红自动转为基金份额进行再投资（红利再投资不受封闭期限制）；若投资者不选择，本基金默认的收益分配方式是现金分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4、基金收益分配后基金份额净值不能低于面值，即基金收益分配基准日的基金份额净值减去每单位基金份额收益分配金额后不能低于面值；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5、法律法规或监管机关另有规定的，从其规定。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在符合法律法规及基金合同约定，并对基金份额持有人利益无实质不利影响的前提下，</w:t>
      </w:r>
      <w:bookmarkStart w:id="164" w:name="chapter_level1_15_64_section_1_end"/>
      <w:bookmarkEnd w:id="164"/>
      <w:r>
        <w:rPr>
          <w:rFonts w:hint="eastAsia"/>
          <w:sz w:val="21"/>
          <w:szCs w:val="21"/>
        </w:rPr>
        <w:t xml:space="preserve">基金管理人可对基金收益分配原则和支付方式进行调整，不需召开基金份额持有人大会。 </w:t>
      </w:r>
    </w:p>
    <w:p w:rsidR="002C1A0C" w:rsidRDefault="00864859">
      <w:pPr>
        <w:pStyle w:val="a5"/>
        <w:spacing w:before="0" w:beforeAutospacing="0" w:after="0" w:afterAutospacing="0" w:line="360" w:lineRule="auto"/>
        <w:ind w:firstLine="420"/>
        <w:rPr>
          <w:sz w:val="21"/>
          <w:szCs w:val="21"/>
        </w:rPr>
      </w:pPr>
      <w:bookmarkStart w:id="165" w:name="chapter_level1_15_64_section_2"/>
      <w:bookmarkEnd w:id="165"/>
      <w:r>
        <w:rPr>
          <w:rStyle w:val="a7"/>
          <w:rFonts w:hint="eastAsia"/>
          <w:sz w:val="21"/>
          <w:szCs w:val="21"/>
        </w:rPr>
        <w:t>四、收益分配方案</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基金收益分配方案中应载明截止收益分配基准日的可供分配利润、基金收益分配对象、分配时间、分配数额及比例、分配方式等内容。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五、收益分配方案的确定、公告与实施</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本基金收益分配方案由基金管理人拟定，并由基金托管人复核，依照《信息披露办法》的有关规定在指定媒介公告。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基金红利发放日距离收益分配基准日（即可供分配利润计算截止日）的时间不得超过15个工作日。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lastRenderedPageBreak/>
        <w:t>六、基金收益分配中发生的费用</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份额的基金份额。红利再投资的计算方法，依照《业务规则》</w:t>
      </w:r>
      <w:bookmarkStart w:id="166" w:name="chapter_level1_15_64_section_2_end"/>
      <w:bookmarkEnd w:id="166"/>
      <w:r>
        <w:rPr>
          <w:rFonts w:hint="eastAsia"/>
          <w:sz w:val="21"/>
          <w:szCs w:val="21"/>
        </w:rPr>
        <w:t xml:space="preserve">执行。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67" w:name="chapter_level1_16_65"/>
      <w:bookmarkStart w:id="168" w:name="_Toc27511775"/>
      <w:r>
        <w:rPr>
          <w:rFonts w:ascii="宋体" w:eastAsia="宋体" w:hAnsi="宋体" w:hint="eastAsia"/>
          <w:sz w:val="30"/>
        </w:rPr>
        <w:lastRenderedPageBreak/>
        <w:t>第十三部分  基金费用与税收</w:t>
      </w:r>
      <w:bookmarkEnd w:id="167"/>
      <w:bookmarkEnd w:id="168"/>
    </w:p>
    <w:p w:rsidR="002C1A0C" w:rsidRDefault="00864859">
      <w:pPr>
        <w:pStyle w:val="a5"/>
        <w:spacing w:before="0" w:beforeAutospacing="0" w:after="0" w:afterAutospacing="0" w:line="360" w:lineRule="auto"/>
        <w:ind w:firstLine="420"/>
        <w:rPr>
          <w:sz w:val="21"/>
          <w:szCs w:val="21"/>
        </w:rPr>
      </w:pPr>
      <w:bookmarkStart w:id="169" w:name="chapter_level1_16_65_section_1"/>
      <w:bookmarkEnd w:id="169"/>
      <w:r>
        <w:rPr>
          <w:rStyle w:val="a7"/>
          <w:rFonts w:hint="eastAsia"/>
          <w:sz w:val="21"/>
          <w:szCs w:val="21"/>
        </w:rPr>
        <w:t>一、基金费用的种类</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1、基金管理人的管理费；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2、基金托管人的托管费；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3、C类基金份额的销售服务费；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4、《基金合同》生效后与基金相关的信息披露费用，法律法规、中国证监会另有规定的除外；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5、《基金合同》生效后与基金相关的会计师费、律师费、诉讼费和仲裁费；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6、基金份额持有人大会费用；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7、基金的证券、期货交易费用；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8、基金的银行汇划费用；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9、账户开户费用、账户维护费用；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10、因投资港股通标的股票而产生的各项合理费用；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11、按照国家有关规定和《基金合同》约定，可以在基金财产中列支的其他费用。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二、基金费用计提方法、计提标准和支付方式</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1、基金管理人的管理费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本基金的管理费按前一日基金资产净值的</w:t>
      </w:r>
      <w:bookmarkStart w:id="170" w:name="field_0_managementrate_1"/>
      <w:r>
        <w:rPr>
          <w:sz w:val="21"/>
          <w:szCs w:val="21"/>
        </w:rPr>
        <w:t>1.50</w:t>
      </w:r>
      <w:bookmarkEnd w:id="170"/>
      <w:r>
        <w:rPr>
          <w:rFonts w:hint="eastAsia"/>
          <w:sz w:val="21"/>
          <w:szCs w:val="21"/>
        </w:rPr>
        <w:t xml:space="preserve">%年费率计提。管理费的计算方法如下： </w:t>
      </w:r>
    </w:p>
    <w:p w:rsidR="002C1A0C" w:rsidRDefault="00864859">
      <w:pPr>
        <w:pStyle w:val="a5"/>
        <w:spacing w:before="0" w:beforeAutospacing="0" w:after="0" w:afterAutospacing="0" w:line="360" w:lineRule="auto"/>
        <w:ind w:firstLine="420"/>
        <w:rPr>
          <w:sz w:val="21"/>
          <w:szCs w:val="21"/>
        </w:rPr>
      </w:pPr>
      <w:r>
        <w:rPr>
          <w:rFonts w:hint="eastAsia"/>
          <w:sz w:val="21"/>
          <w:szCs w:val="21"/>
        </w:rPr>
        <w:t>H＝E×</w:t>
      </w:r>
      <w:bookmarkStart w:id="171" w:name="field_0_managementrate_2"/>
      <w:r>
        <w:rPr>
          <w:sz w:val="21"/>
          <w:szCs w:val="21"/>
        </w:rPr>
        <w:t>1.50</w:t>
      </w:r>
      <w:bookmarkEnd w:id="171"/>
      <w:r>
        <w:rPr>
          <w:rFonts w:hint="eastAsia"/>
          <w:sz w:val="21"/>
          <w:szCs w:val="21"/>
        </w:rPr>
        <w:t xml:space="preserve">%÷当年天数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H为每日应计提的基金管理费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E为前一日的基金资产净值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费每日计提，逐日累计至每月月末，按月支付，由基金托管人根据与基金管理人核对一致的财务数据，基金托管人根据与基金管理人约定的方式在月初三个工作日内，按照指定的账户路径进行资金支付，基金管理人无需再出具资金划拨指令。若遇法定节假日、休息日等，支付日期顺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2、基金托管人的托管费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本基金的托管费按前一日基金资产净值的</w:t>
      </w:r>
      <w:bookmarkStart w:id="172" w:name="field_0_trusteerate_1"/>
      <w:r>
        <w:rPr>
          <w:sz w:val="21"/>
          <w:szCs w:val="21"/>
        </w:rPr>
        <w:t>0.25</w:t>
      </w:r>
      <w:bookmarkEnd w:id="172"/>
      <w:r>
        <w:rPr>
          <w:rFonts w:hint="eastAsia"/>
          <w:sz w:val="21"/>
          <w:szCs w:val="21"/>
        </w:rPr>
        <w:t xml:space="preserve">%的年费率计提。托管费的计算方法如下： </w:t>
      </w:r>
    </w:p>
    <w:p w:rsidR="002C1A0C" w:rsidRDefault="00864859">
      <w:pPr>
        <w:pStyle w:val="a5"/>
        <w:spacing w:before="0" w:beforeAutospacing="0" w:after="0" w:afterAutospacing="0" w:line="360" w:lineRule="auto"/>
        <w:ind w:firstLine="420"/>
        <w:rPr>
          <w:sz w:val="21"/>
          <w:szCs w:val="21"/>
        </w:rPr>
      </w:pPr>
      <w:r>
        <w:rPr>
          <w:rFonts w:hint="eastAsia"/>
          <w:sz w:val="21"/>
          <w:szCs w:val="21"/>
        </w:rPr>
        <w:t>H＝E×</w:t>
      </w:r>
      <w:bookmarkStart w:id="173" w:name="field_0_trusteerate_2"/>
      <w:r>
        <w:rPr>
          <w:sz w:val="21"/>
          <w:szCs w:val="21"/>
        </w:rPr>
        <w:t>0.25</w:t>
      </w:r>
      <w:bookmarkEnd w:id="173"/>
      <w:r>
        <w:rPr>
          <w:rFonts w:hint="eastAsia"/>
          <w:sz w:val="21"/>
          <w:szCs w:val="21"/>
        </w:rPr>
        <w:t xml:space="preserve">%÷当年天数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H为每日应计提的基金托管费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E为前一日的基金资产净值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基金托管费每日计提，逐日累计至每月月末，按月支付，由基金托管人根据与基金管理人核对一致的财务数据，基金托管人根据与基金管理人约定的方式在月初三个工作日内，按照指定的账户路径进行资金支付，基金管理人无需再出具资金划拨指令。若遇法定节假日、休息日等，支付日期顺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3、销售服务费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本基金A类基金份额不收取销售服务费，C类基金份额的销售服务费年费率为0.50%。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本基金销售服务费按前一日C类基金份额的基金资产净值的0.50</w:t>
      </w:r>
      <w:r>
        <w:rPr>
          <w:sz w:val="21"/>
          <w:szCs w:val="21"/>
        </w:rPr>
        <w:t xml:space="preserve"> </w:t>
      </w:r>
      <w:r>
        <w:rPr>
          <w:rFonts w:hint="eastAsia"/>
          <w:sz w:val="21"/>
          <w:szCs w:val="21"/>
        </w:rPr>
        <w:t>%年费率计提。</w:t>
      </w:r>
      <w:r>
        <w:rPr>
          <w:sz w:val="21"/>
          <w:szCs w:val="21"/>
        </w:rPr>
        <w:t xml:space="preserve"> </w:t>
      </w:r>
      <w:r>
        <w:rPr>
          <w:rFonts w:hint="eastAsia"/>
          <w:sz w:val="21"/>
          <w:szCs w:val="21"/>
        </w:rPr>
        <w:t xml:space="preserve">计算方法如下： </w:t>
      </w:r>
    </w:p>
    <w:p w:rsidR="002C1A0C" w:rsidRDefault="00864859">
      <w:pPr>
        <w:pStyle w:val="a5"/>
        <w:spacing w:before="0" w:beforeAutospacing="0" w:after="0" w:afterAutospacing="0" w:line="360" w:lineRule="auto"/>
        <w:ind w:firstLine="420"/>
        <w:rPr>
          <w:sz w:val="21"/>
          <w:szCs w:val="21"/>
        </w:rPr>
      </w:pPr>
      <w:r>
        <w:rPr>
          <w:rFonts w:hint="eastAsia"/>
          <w:sz w:val="21"/>
          <w:szCs w:val="21"/>
        </w:rPr>
        <w:t>H=E×0.50</w:t>
      </w:r>
      <w:r>
        <w:rPr>
          <w:sz w:val="21"/>
          <w:szCs w:val="21"/>
        </w:rPr>
        <w:t xml:space="preserve"> </w:t>
      </w:r>
      <w:r>
        <w:rPr>
          <w:rFonts w:hint="eastAsia"/>
          <w:sz w:val="21"/>
          <w:szCs w:val="21"/>
        </w:rPr>
        <w:t xml:space="preserve">%÷当年天数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H为C类基金份额每日应计提的销售服务费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E为C类基金份额前一日基金资产净值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销售服务费每日计算，逐日累计至每月月末，按月支付。由基金托管人根据与基金管理人核对一致的财务数据，基金托管人根据与基金管理人约定的方式在月初三个工作日内支付给登记机构，由登记机构代收支付给销售机构。若遇法定节假日、休息日等，支付日期顺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销售服务费主要用于本基金持续销售以及基金份额持有人服务等各项费用。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上述“一、基金费用的种类中第4－11项费用”，根据有关法规及相应协议规定，按费用实际支出金额列入当期费用，由基金托管人从基金财产中支付。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三、不列入基金费用的项目</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下列费用不列入基金费用：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1、基金管理人和基金托管人因未履行或未完全履行义务导致的费用支出或基金财产的损失；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2、基金管理人和基金托管人处理与基金运作无关的事项发生的费用；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3、《基金合同》生效前的相关费用；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4、其他根据相关法律法规及中国证监会的有关规定不得列入基金费用的项目。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四、基金税收</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本基金运作过程中涉及的各纳税主体，其纳税义务按国家税收法律、法规执行。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基金财产投资的相关税收，由基金份额持有人承担，基金管理人或者其他扣缴义务人按照国家有关税收征收的规定代扣代缴。 </w:t>
      </w:r>
    </w:p>
    <w:p w:rsidR="002C1A0C" w:rsidRDefault="00864859">
      <w:pPr>
        <w:pStyle w:val="a5"/>
        <w:spacing w:before="0" w:beforeAutospacing="0" w:after="0" w:afterAutospacing="0" w:line="360" w:lineRule="auto"/>
        <w:ind w:firstLine="420"/>
        <w:rPr>
          <w:sz w:val="21"/>
          <w:szCs w:val="21"/>
        </w:rPr>
      </w:pPr>
      <w:r>
        <w:rPr>
          <w:rFonts w:hint="eastAsia"/>
          <w:sz w:val="21"/>
          <w:szCs w:val="21"/>
        </w:rPr>
        <w:t>鉴于基金管理人为本基金的利益投资、运用基金财产过程中，可能因法律法规、税收政策的要求而成为纳税义务人，就归属于基金的投资收益、投资回报和/或本金承担纳税义务。</w:t>
      </w:r>
      <w:r>
        <w:rPr>
          <w:rFonts w:hint="eastAsia"/>
          <w:sz w:val="21"/>
          <w:szCs w:val="21"/>
        </w:rPr>
        <w:lastRenderedPageBreak/>
        <w:t>因此，本基金运营过程中由于上述原因发生的增值税等税负，仍由本基金财产承担，届时基金管理人与基金托管人可通过本基金财产账户直接缴付，或划付至基金管理人账户并由基金</w:t>
      </w:r>
      <w:bookmarkStart w:id="174" w:name="chapter_level1_16_65_section_1_end"/>
      <w:bookmarkEnd w:id="174"/>
      <w:r>
        <w:rPr>
          <w:rFonts w:hint="eastAsia"/>
          <w:sz w:val="21"/>
          <w:szCs w:val="21"/>
        </w:rPr>
        <w:t xml:space="preserve">管理人依据税务部门要求完成税款申报缴纳。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75" w:name="_Toc27511776"/>
      <w:bookmarkStart w:id="176" w:name="chapter_level1_17_66"/>
      <w:r>
        <w:rPr>
          <w:rFonts w:ascii="宋体" w:eastAsia="宋体" w:hAnsi="宋体" w:hint="eastAsia"/>
          <w:sz w:val="30"/>
        </w:rPr>
        <w:lastRenderedPageBreak/>
        <w:t>第十四部分  基金的会计与审计</w:t>
      </w:r>
      <w:bookmarkEnd w:id="175"/>
      <w:bookmarkEnd w:id="176"/>
    </w:p>
    <w:p w:rsidR="002C1A0C" w:rsidRDefault="00864859">
      <w:pPr>
        <w:pStyle w:val="a5"/>
        <w:spacing w:before="0" w:beforeAutospacing="0" w:after="0" w:afterAutospacing="0" w:line="360" w:lineRule="auto"/>
        <w:ind w:firstLine="420"/>
        <w:rPr>
          <w:sz w:val="21"/>
          <w:szCs w:val="21"/>
        </w:rPr>
      </w:pPr>
      <w:bookmarkStart w:id="177" w:name="chapter_level1_17_66_section_1"/>
      <w:bookmarkEnd w:id="177"/>
      <w:r>
        <w:rPr>
          <w:rStyle w:val="a7"/>
          <w:rFonts w:hint="eastAsia"/>
          <w:sz w:val="21"/>
          <w:szCs w:val="21"/>
        </w:rPr>
        <w:t>一、基金会计政策</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1、基金管理人为本基金的基金会计责任方；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2、基金的会计年度为公历年度的1月1日至12月31日；基金首次募集的会计年度按如下原则：如果《基金合同》生效少于2个月，可以并入下一个会计年度披露；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3、基金核算以人民币为记账本位币，以人民币元为记账单位；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4、会计制度执行国家有关会计制度；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5、本基金独立建账、独立核算；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6、基金管理人及基金托管人各自保留完整的会计账目、凭证并进行日常的会计核算，按照有关规定编制基金会计报表；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7、基金托管人每月与基金管理人就基金的会计核算、报表编制等进行核对并以书面方式确认。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二、基金的年度审计</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2、会计师事务所更换经办注册会计师，应事先征得基金管理人同意。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3、基金管理人认为有充足理由更换会计师事务所，须通报基金托管人。更换会计师事务所需按照《信息披露办法》的有关规定在指定媒介公告。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78" w:name="_Toc27511777"/>
      <w:bookmarkStart w:id="179" w:name="chapter_level1_18_67"/>
      <w:r>
        <w:rPr>
          <w:rFonts w:ascii="宋体" w:eastAsia="宋体" w:hAnsi="宋体" w:hint="eastAsia"/>
          <w:sz w:val="30"/>
        </w:rPr>
        <w:lastRenderedPageBreak/>
        <w:t>第十五部分  基金的信息披露</w:t>
      </w:r>
      <w:bookmarkEnd w:id="178"/>
      <w:bookmarkEnd w:id="179"/>
    </w:p>
    <w:p w:rsidR="002C1A0C" w:rsidRDefault="00864859">
      <w:pPr>
        <w:pStyle w:val="a5"/>
        <w:spacing w:before="0" w:beforeAutospacing="0" w:after="0" w:afterAutospacing="0" w:line="360" w:lineRule="auto"/>
        <w:ind w:firstLine="420"/>
        <w:rPr>
          <w:sz w:val="21"/>
          <w:szCs w:val="21"/>
        </w:rPr>
      </w:pPr>
      <w:bookmarkStart w:id="180" w:name="chapter_level1_18_67_section_1"/>
      <w:bookmarkEnd w:id="180"/>
      <w:r>
        <w:rPr>
          <w:rStyle w:val="a7"/>
          <w:rFonts w:hint="eastAsia"/>
          <w:sz w:val="21"/>
          <w:szCs w:val="21"/>
        </w:rPr>
        <w:t>一、本基金的信息披露应符合《基金法》、《运作办法》、《信息披露办法》、《基金合同》及其他有关规定。</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二、信息披露义务人</w:t>
      </w:r>
    </w:p>
    <w:p w:rsidR="002C1A0C" w:rsidRDefault="00864859">
      <w:pPr>
        <w:pStyle w:val="a5"/>
        <w:spacing w:before="0" w:beforeAutospacing="0" w:after="0" w:afterAutospacing="0" w:line="360" w:lineRule="auto"/>
        <w:ind w:firstLine="420"/>
        <w:rPr>
          <w:sz w:val="21"/>
          <w:szCs w:val="21"/>
        </w:rPr>
      </w:pPr>
      <w:r>
        <w:rPr>
          <w:rFonts w:hint="eastAsia"/>
          <w:sz w:val="21"/>
          <w:szCs w:val="21"/>
        </w:rPr>
        <w:t>本基金信息披露义务人包括基金管理人、基金托管人、召集基金份额持有人大会的基金份额持有人等法律、行政法规和中国证监会规定的自然人、法人和非法人组织。</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三、本基金信息披露义务人承诺公开披露的基金信息，不得有下列行为：</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1、虚假记载、误导性陈述或者重大遗漏；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2、对证券投资业绩进行预测；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3、违规承诺收益或者承担损失；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4、诋毁其他基金管理人、基金托管人或者基金销售机构；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5、登载任何自然人、法人和非法人组织的祝贺性、恭维性或推荐性文字；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6、中国证监会禁止的其他行为。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四、本基金公开披露的信息应采用中文文本。同时采用外文文本的，基金信息披露义务人应保证不同文本的内容一致。不同文本之间发生歧义的，以中文文本为准。</w:t>
      </w:r>
    </w:p>
    <w:p w:rsidR="002C1A0C" w:rsidRDefault="00864859">
      <w:pPr>
        <w:pStyle w:val="a5"/>
        <w:spacing w:before="0" w:beforeAutospacing="0" w:after="0" w:afterAutospacing="0" w:line="360" w:lineRule="auto"/>
        <w:ind w:firstLine="420"/>
        <w:rPr>
          <w:sz w:val="21"/>
          <w:szCs w:val="21"/>
        </w:rPr>
      </w:pPr>
      <w:bookmarkStart w:id="181" w:name="chapter_level1_18_67_section_1_end"/>
      <w:bookmarkEnd w:id="181"/>
      <w:r>
        <w:rPr>
          <w:rFonts w:hint="eastAsia"/>
          <w:sz w:val="21"/>
          <w:szCs w:val="21"/>
        </w:rPr>
        <w:t xml:space="preserve">本基金公开披露的信息采用阿拉伯数字；除特别说明外，货币单位为人民币元。 </w:t>
      </w:r>
    </w:p>
    <w:p w:rsidR="002C1A0C" w:rsidRDefault="00864859">
      <w:pPr>
        <w:pStyle w:val="a5"/>
        <w:spacing w:before="0" w:beforeAutospacing="0" w:after="0" w:afterAutospacing="0" w:line="360" w:lineRule="auto"/>
        <w:ind w:firstLine="420"/>
        <w:rPr>
          <w:sz w:val="21"/>
          <w:szCs w:val="21"/>
        </w:rPr>
      </w:pPr>
      <w:bookmarkStart w:id="182" w:name="chapter_level1_18_67_section_2"/>
      <w:bookmarkEnd w:id="182"/>
      <w:r>
        <w:rPr>
          <w:rStyle w:val="a7"/>
          <w:rFonts w:hint="eastAsia"/>
          <w:sz w:val="21"/>
          <w:szCs w:val="21"/>
        </w:rPr>
        <w:t>五、公开披露的基金信息</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公开披露的基金信息包括：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（一）基金招募说明书、《基金合同》、基金托管协议、基金产品资料概要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3、基金托管协议是界定基金托管人和基金管理人在基金财产保管及基金运作监督等活动中的权利、义务关系的法律文件。 </w:t>
      </w:r>
    </w:p>
    <w:p w:rsidR="002C1A0C" w:rsidRDefault="00864859">
      <w:pPr>
        <w:pStyle w:val="a5"/>
        <w:spacing w:before="0" w:beforeAutospacing="0" w:after="0" w:afterAutospacing="0" w:line="360" w:lineRule="auto"/>
        <w:ind w:firstLine="420"/>
        <w:rPr>
          <w:sz w:val="21"/>
          <w:szCs w:val="21"/>
        </w:rPr>
      </w:pPr>
      <w:r>
        <w:rPr>
          <w:rFonts w:hint="eastAsia"/>
          <w:sz w:val="21"/>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网站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（二）基金份额发售公告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基金管理人应当就基金份额发售的具体事宜编制基金份额发售公告，并在披露招募说明书的当日登载于指定媒介上。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（三）《基金合同》生效公告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基金管理人应当在收到中国证监会确认文件的次日在指定媒介上登载《基金合同》生效公告。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（四）基金净值信息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《基金合同》生效后，在封闭期内，基金管理人应当至少每周在指定网站披露一次各类基金份额净值和各类基金份额累计净值。</w:t>
      </w:r>
    </w:p>
    <w:p w:rsidR="002C1A0C" w:rsidRDefault="00864859">
      <w:pPr>
        <w:pStyle w:val="a5"/>
        <w:spacing w:before="0" w:beforeAutospacing="0" w:after="0" w:afterAutospacing="0" w:line="360" w:lineRule="auto"/>
        <w:ind w:firstLine="420"/>
        <w:rPr>
          <w:sz w:val="21"/>
          <w:szCs w:val="21"/>
        </w:rPr>
      </w:pPr>
      <w:r>
        <w:rPr>
          <w:rFonts w:hint="eastAsia"/>
          <w:sz w:val="21"/>
          <w:szCs w:val="21"/>
        </w:rPr>
        <w:t>在开放期内，基金管理人应当在不晚于每个开放日的次日，通过指定网站、基金销售机构网站或者营业网点披露开放日的各类基金份额净值和各类基金份额累计净值。</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基金管理人应当在不晚于半年度和年度最后一日的次日，在指定网站披露半年度和年度最后一日的各类基金份额净值和各类基金份额累计净值。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（五）基金份额申购、赎回价格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基金管理人应当在《基金合同》、招募说明书等信息披露文件上载明基金份额申购、赎回价格的计算方式及有关申购、赎回费率，并保证投资者能够在基金销售机构网站或营业网点查阅或者复制前述信息资料。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（六）基金定期报告，包括基金年度报告、基金中期报告和基金季度报告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基金管理人应当在上半年结束之日起两个月内，编制完成基金中期报告，将中期报告登载在指定网站上，并将中期报告提示性公告登载在指定报刊上。</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基金管理人应当在季度结束之日起15个工作日内，编制完成基金季度报告，将季度报告登载在指定网站上，并将季度报告提示性公告登载在指定报刊上。</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《基金合同》生效不足2个月的，基金管理人可以不编制当期季度报告、中期报告或者年度报告。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本基金持续运作过程中，应当在基金年度报告和中期报告中披露基金组合资产情况及其流动性风险分析等。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（七）临时报告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本基金发生重大事件，有关信息披露义务人应当按规定编制临时报告书，</w:t>
      </w:r>
      <w:r w:rsidR="00681366">
        <w:rPr>
          <w:rFonts w:hint="eastAsia"/>
          <w:sz w:val="21"/>
          <w:szCs w:val="21"/>
        </w:rPr>
        <w:t>并登载在指定报刊和指定网站上</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前款所称重大事件，是指可能对基金份额持有人权益或者基金份额的价格产生重大影响的下列事件： </w:t>
      </w:r>
    </w:p>
    <w:p w:rsidR="002C1A0C" w:rsidRDefault="00864859">
      <w:pPr>
        <w:pStyle w:val="a5"/>
        <w:spacing w:before="0" w:beforeAutospacing="0" w:after="0" w:afterAutospacing="0" w:line="360" w:lineRule="auto"/>
        <w:ind w:firstLine="420"/>
        <w:rPr>
          <w:sz w:val="21"/>
          <w:szCs w:val="21"/>
        </w:rPr>
      </w:pPr>
      <w:r>
        <w:rPr>
          <w:rFonts w:hint="eastAsia"/>
          <w:sz w:val="21"/>
          <w:szCs w:val="21"/>
        </w:rPr>
        <w:t>1、基金份额持有人大会的召开及决定的事项；</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2、《基金合同》终止、基金清算；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3、转换基金运作方式、基金合并；</w:t>
      </w:r>
    </w:p>
    <w:p w:rsidR="002C1A0C" w:rsidRDefault="00864859">
      <w:pPr>
        <w:pStyle w:val="a5"/>
        <w:spacing w:before="0" w:beforeAutospacing="0" w:after="0" w:afterAutospacing="0" w:line="360" w:lineRule="auto"/>
        <w:ind w:firstLine="420"/>
        <w:rPr>
          <w:sz w:val="21"/>
          <w:szCs w:val="21"/>
        </w:rPr>
      </w:pPr>
      <w:r>
        <w:rPr>
          <w:rFonts w:hint="eastAsia"/>
          <w:sz w:val="21"/>
          <w:szCs w:val="21"/>
        </w:rPr>
        <w:t>4、更换基金管理人、基金托管人、基金份额登记机构，基金改聘会计师事务所；</w:t>
      </w:r>
    </w:p>
    <w:p w:rsidR="002C1A0C" w:rsidRDefault="00864859">
      <w:pPr>
        <w:pStyle w:val="a5"/>
        <w:spacing w:before="0" w:beforeAutospacing="0" w:after="0" w:afterAutospacing="0" w:line="360" w:lineRule="auto"/>
        <w:ind w:firstLine="420"/>
        <w:rPr>
          <w:sz w:val="21"/>
          <w:szCs w:val="21"/>
        </w:rPr>
      </w:pPr>
      <w:r>
        <w:rPr>
          <w:rFonts w:hint="eastAsia"/>
          <w:sz w:val="21"/>
          <w:szCs w:val="21"/>
        </w:rPr>
        <w:t>5、基金管理人委托基金服务机构代为办理基金的份额登记、核算、估值等事项，基金托管人委托基金服务机构代为办理基金的核算、估值、复核等事项；</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6、基金管理人、基金托管人的法定名称、住所发生变更；</w:t>
      </w:r>
    </w:p>
    <w:p w:rsidR="002C1A0C" w:rsidRDefault="00864859">
      <w:pPr>
        <w:pStyle w:val="a5"/>
        <w:spacing w:before="0" w:beforeAutospacing="0" w:after="0" w:afterAutospacing="0" w:line="360" w:lineRule="auto"/>
        <w:ind w:firstLine="420"/>
        <w:rPr>
          <w:sz w:val="21"/>
          <w:szCs w:val="21"/>
        </w:rPr>
      </w:pPr>
      <w:r>
        <w:rPr>
          <w:rFonts w:hint="eastAsia"/>
          <w:sz w:val="21"/>
          <w:szCs w:val="21"/>
        </w:rPr>
        <w:t>7、基金管理人变更持有百分之五以上股权的股东、基金管理人的实际控制人变更；</w:t>
      </w:r>
    </w:p>
    <w:p w:rsidR="002C1A0C" w:rsidRDefault="00864859">
      <w:pPr>
        <w:pStyle w:val="a5"/>
        <w:spacing w:before="0" w:beforeAutospacing="0" w:after="0" w:afterAutospacing="0" w:line="360" w:lineRule="auto"/>
        <w:ind w:firstLine="420"/>
        <w:rPr>
          <w:sz w:val="21"/>
          <w:szCs w:val="21"/>
        </w:rPr>
      </w:pPr>
      <w:r>
        <w:rPr>
          <w:rFonts w:hint="eastAsia"/>
          <w:sz w:val="21"/>
          <w:szCs w:val="21"/>
        </w:rPr>
        <w:t>8、基金募集期延长；</w:t>
      </w:r>
    </w:p>
    <w:p w:rsidR="002C1A0C" w:rsidRDefault="00864859">
      <w:pPr>
        <w:pStyle w:val="a5"/>
        <w:spacing w:before="0" w:beforeAutospacing="0" w:after="0" w:afterAutospacing="0" w:line="360" w:lineRule="auto"/>
        <w:ind w:firstLine="420"/>
        <w:rPr>
          <w:sz w:val="21"/>
          <w:szCs w:val="21"/>
        </w:rPr>
      </w:pPr>
      <w:r>
        <w:rPr>
          <w:rFonts w:hint="eastAsia"/>
          <w:sz w:val="21"/>
          <w:szCs w:val="21"/>
        </w:rPr>
        <w:t>9、基金管理人的高级管理人员、基金经理和基金托管人专门基金托管部门负责人发生变动；</w:t>
      </w:r>
    </w:p>
    <w:p w:rsidR="002C1A0C" w:rsidRDefault="00864859">
      <w:pPr>
        <w:pStyle w:val="a5"/>
        <w:spacing w:before="0" w:beforeAutospacing="0" w:after="0" w:afterAutospacing="0" w:line="360" w:lineRule="auto"/>
        <w:ind w:firstLine="420"/>
        <w:rPr>
          <w:sz w:val="21"/>
          <w:szCs w:val="21"/>
        </w:rPr>
      </w:pPr>
      <w:r>
        <w:rPr>
          <w:rFonts w:hint="eastAsia"/>
          <w:sz w:val="21"/>
          <w:szCs w:val="21"/>
        </w:rPr>
        <w:t>10、基金管理人的董事在最近12个月内变更超过百分之五十，基金管理人、基金托管人专门基金托管部门的主要业务人员在最近12个月内变动超过百分之三十；</w:t>
      </w:r>
    </w:p>
    <w:p w:rsidR="002C1A0C" w:rsidRDefault="00864859">
      <w:pPr>
        <w:pStyle w:val="a5"/>
        <w:spacing w:before="0" w:beforeAutospacing="0" w:after="0" w:afterAutospacing="0" w:line="360" w:lineRule="auto"/>
        <w:ind w:firstLine="420"/>
        <w:rPr>
          <w:sz w:val="21"/>
          <w:szCs w:val="21"/>
        </w:rPr>
      </w:pPr>
      <w:r>
        <w:rPr>
          <w:rFonts w:hint="eastAsia"/>
          <w:sz w:val="21"/>
          <w:szCs w:val="21"/>
        </w:rPr>
        <w:t>11、涉及基金财产、基金管理业务、基金托管业务的诉讼或仲裁；</w:t>
      </w:r>
    </w:p>
    <w:p w:rsidR="002C1A0C" w:rsidRDefault="00864859">
      <w:pPr>
        <w:pStyle w:val="a5"/>
        <w:spacing w:before="0" w:beforeAutospacing="0" w:after="0" w:afterAutospacing="0" w:line="360" w:lineRule="auto"/>
        <w:ind w:firstLine="420"/>
        <w:rPr>
          <w:sz w:val="21"/>
          <w:szCs w:val="21"/>
        </w:rPr>
      </w:pPr>
      <w:r>
        <w:rPr>
          <w:rFonts w:hint="eastAsia"/>
          <w:sz w:val="21"/>
          <w:szCs w:val="21"/>
        </w:rPr>
        <w:t>12、基金管理人或其高级管理人员、基金经理因基金管理业务相关行为受到重大行政处罚、刑事处罚，基金托管人或其专门基金托管部门负责人因基金托管业务相关行为受到重大行政处罚、刑事处罚；</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但中国证监会另有规定的除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14、基金收益分配事项；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15、管理费、托管费、销售服务费、申购费、赎回费等费用计提标准、计提方式和费率发生变更；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16、基金份额净值计价错误达基金份额净值百分之零点五；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17、本基金进入开放期；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18、本基金在开放期内发生巨额赎回并延缓支付赎回款项；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19、本基金暂停接受申购、赎回申请；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20、本基金暂停接受申购、赎回申请或重新接受申购、赎回申请；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21、调整基金份额类别的设置；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22、基金推出新业务或服务；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23、发生涉及本基金申购、赎回事项调整或潜在影响投资者赎回等重大事项时；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24、基金管理人采用摆动定价机制进行估值时；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25、基金信息披露义务人认为可能对基金份额持有人权益或者基金份额的价格产生重大影响的其他事项或中国证监会规定的和基金合同约定的其他事项。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（八）澄清公告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（九）基金份额持有人大会决议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基金份额持有人大会决定的事项，应当依法报中国证监会备案，并予以公告。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（十）投资股指期货的信息披露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当在基金季度报告、基金中期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（十一）投资国债期货的信息披露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当在基金季度报告、基金中期报告、基金年度报告等定期报告和招募说明书（更新）等文件中披露国债期货交易情况，包括投资政策、持仓情况、损益情况、风险指标等，并充分揭示国债期货交易对基金总体风险的影响以及是否符合既定的投资政策和投资目标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（十二）投资中小企业私募债券的信息披露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当在基金投资中小企业私募债券后2个交易日内，在中国证监会指定媒介披露所投资中小企业私募债券的名称、数量、期限、收益率等信息。基金管理人应当在基金年度报告、基金中期报告和基金季度报告等定期报告和招募说明书等文件中披露中小企业私募债券的投资情况。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（十三）投资资产支持证券的信息披露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投资资产支持证券，基金管理人应在基金年报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（十四）香港联合交易所证券投资情况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在基金年报及中期报告中披露其持有的香港联合交易所上市交易的证券总额及其市值占基金净资产的比例，以及报告期内所有的香港联合交易所证券明细。基金管理人应在基金季度报告中披露其持有的香港联合交易所证券总额及其市值占基金净资产的比例、以及报告期末按市值占基金净资产比例大小排序的前10名香港联合交易所证券明细。 </w:t>
      </w:r>
    </w:p>
    <w:p w:rsidR="002C1A0C" w:rsidRDefault="00864859">
      <w:pPr>
        <w:pStyle w:val="a5"/>
        <w:spacing w:before="0" w:beforeAutospacing="0" w:after="0" w:afterAutospacing="0" w:line="360" w:lineRule="auto"/>
        <w:ind w:firstLine="420"/>
        <w:rPr>
          <w:sz w:val="21"/>
          <w:szCs w:val="21"/>
        </w:rPr>
      </w:pPr>
      <w:bookmarkStart w:id="183" w:name="chapter_level1_18_67_section_2_end"/>
      <w:bookmarkEnd w:id="183"/>
      <w:r>
        <w:rPr>
          <w:rFonts w:hint="eastAsia"/>
          <w:sz w:val="21"/>
          <w:szCs w:val="21"/>
        </w:rPr>
        <w:lastRenderedPageBreak/>
        <w:t>（十五）清算报告</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基金终止运作的，基金管理人应当依法组织基金财产清算小组对基金财产进行清算并作出清算报告。基金财产清算小组应当将清算报告登载在指定网站上，并将清算报告提示性公告登载在指定报刊上。</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（十六）中国证监会规定的其他信息。 </w:t>
      </w:r>
    </w:p>
    <w:p w:rsidR="002C1A0C" w:rsidRDefault="00864859">
      <w:pPr>
        <w:pStyle w:val="a5"/>
        <w:spacing w:before="0" w:beforeAutospacing="0" w:after="0" w:afterAutospacing="0" w:line="360" w:lineRule="auto"/>
        <w:ind w:firstLine="420"/>
        <w:rPr>
          <w:sz w:val="21"/>
          <w:szCs w:val="21"/>
        </w:rPr>
      </w:pPr>
      <w:bookmarkStart w:id="184" w:name="chapter_level1_18_67_section_3"/>
      <w:bookmarkEnd w:id="184"/>
      <w:r>
        <w:rPr>
          <w:rStyle w:val="a7"/>
          <w:rFonts w:hint="eastAsia"/>
          <w:sz w:val="21"/>
          <w:szCs w:val="21"/>
        </w:rPr>
        <w:t>六、信息披露事务管理</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基金管理人、基金托管人应当建立健全信息披露管理制度，指定专门部门及高级管理人员负责管理信息披露事务。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基金信息披露义务人公开披露基金信息，应当符合中国证监会相关基金信息披露内容与格式准则等法规的规定。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基金管理人、基金托管人应当在指定报刊中选择一家报刊披露本基金信息。</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基金管理人、基金托管人应当向中国证监会基金电子披露网站报送拟披露的基金信息，并保证相关报送信息的真实、准确、完整、及时。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七、信息披露文件的存放与查阅</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依法必须披露的信息发布后，基金管理人、基金托管人应当按照相关法律法规规定将信息置备于公司住所， 供社会公众查阅、复制。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八、当出现下述情况时，基金管理人和基金托管人可暂停或延迟披露基金相关信息：</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1、不可抗力；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2、发生暂停估值的情形； </w:t>
      </w:r>
    </w:p>
    <w:p w:rsidR="002C1A0C" w:rsidRDefault="00864859">
      <w:pPr>
        <w:pStyle w:val="a5"/>
        <w:spacing w:before="0" w:beforeAutospacing="0" w:after="0" w:afterAutospacing="0" w:line="360" w:lineRule="auto"/>
        <w:ind w:firstLine="420"/>
        <w:rPr>
          <w:sz w:val="21"/>
          <w:szCs w:val="21"/>
        </w:rPr>
      </w:pPr>
      <w:bookmarkStart w:id="185" w:name="chapter_level1_18_67_section_3_end"/>
      <w:bookmarkEnd w:id="185"/>
      <w:r>
        <w:rPr>
          <w:rFonts w:hint="eastAsia"/>
          <w:sz w:val="21"/>
          <w:szCs w:val="21"/>
        </w:rPr>
        <w:t xml:space="preserve">3、法律法规规定、中国证监会或《基金合同》认定的其他情形。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86" w:name="chapter_level1_19_68"/>
      <w:bookmarkStart w:id="187" w:name="_Toc27511778"/>
      <w:r>
        <w:rPr>
          <w:rFonts w:ascii="宋体" w:eastAsia="宋体" w:hAnsi="宋体" w:hint="eastAsia"/>
          <w:sz w:val="30"/>
        </w:rPr>
        <w:lastRenderedPageBreak/>
        <w:t>第十六部分  风险揭示</w:t>
      </w:r>
      <w:bookmarkEnd w:id="186"/>
      <w:bookmarkEnd w:id="187"/>
    </w:p>
    <w:p w:rsidR="002C1A0C" w:rsidRDefault="00864859">
      <w:pPr>
        <w:pStyle w:val="a5"/>
        <w:spacing w:before="0" w:beforeAutospacing="0" w:after="0" w:afterAutospacing="0" w:line="360" w:lineRule="auto"/>
        <w:ind w:firstLine="420"/>
        <w:rPr>
          <w:sz w:val="21"/>
          <w:szCs w:val="21"/>
        </w:rPr>
      </w:pPr>
      <w:bookmarkStart w:id="188" w:name="chapter_level1_19_68_section_1"/>
      <w:bookmarkEnd w:id="188"/>
      <w:r>
        <w:rPr>
          <w:rStyle w:val="a7"/>
          <w:rFonts w:hint="eastAsia"/>
          <w:sz w:val="21"/>
          <w:szCs w:val="21"/>
        </w:rPr>
        <w:t>一、投资于本基金的主要风险</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投资于本基金的主要风险有：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1、市场风险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证券市场价格受到各种因素的影响，导致基金收益水平变化而产生风险，主要包括：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（1）政策风险。因国家宏观政策（如货币政策、财政政策、行业政策、地区发展政策等）发生变化，导致市场价格波动而产生风险。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（2）经济周期风险。随着经济运行的周期性变化，证券市场的收益水平也呈周期性变化。本基金主要投资于债券，收益水平也会随之变化，从而产生风险。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（3）利率风险。金融市场利率的波动会导致证券市场价格和收益率的变动。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（4）通货膨胀风险。如果发生通货膨胀，基金投资于证券所获得的收益可能会被通货膨胀抵消，从而影响基金资产的保值增值。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（5）再投资风险。再投资风险反映了利率下降对固定收益证券利息收入再投资收益的影响，这与利率上升所带来的价格风险（即利率风险）互为消长。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上市公司经营风险。上市公司的经营好坏受多种因素影响，如管理能力、财务状况、市场前景、行业竞争、人员素质等，这些都会导致企业的盈利发生变化。如果委托财产所投资的上市公司经营不善，会影响其股票价格、可转债价格，严重亏损时，还会影响企业债价格，使资产管理计划财产投资收益下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（7）杠杆风险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可以通过债券回购放大杠杆，进行杠杆操作将会放大组合收益波动，对组合业绩稳定性有较大影响，同时杠杆成本波动也会影响组合收益率水平，在市场下行或杠杆成本异常上升时，有可能导致基金资产收益的超预期下降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（8）债券收益率曲线风险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债券市场不同期限、不同类属债券之间的利差变动会导致相应期限和类属债券价格变化的风险。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2、信用风险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信用风险主要指债券、资产支持证券等信用证券发行主体信用状况恶化，导致信用评级下降甚至到期不能履行合约进行兑付的风险，另外，信用风险也包括证券交易对手因违约而产生的证券交割风险。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3、流动性风险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（1）拟投资市场、行业及资产的流动性风险评估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的投资市场主要为证券交易所、全国银行间债券市场等流动性较好的规范型交易场所，主要投资对象为具有良好流动性的金融工具（包括国内依法发行上市的股票、债券和货币市场工具、股指期货等），同时本基金基于分散投资的原则在行业和个券方面未有高集中度的特征，综合评估在正常市场环境下本基金的流动性风险适中。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（2）巨额赎回情形下的流动性风险管理措施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（3）实施备用的流动性风险管理工具的情形、程序及对投资者的潜在影响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4、操作风险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操作风险是指基金运作过程中，因内部控制存在缺陷或者人为因素造成操作失误或违反操作规程等引致的风险，例如，越权违规交易、会计部门欺诈、交易错误、IT系统故障等风险。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5、管理风险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在基金管理运作过程中，基金管理人的研究水平、投资管理水平直接影响基金收益水平，如果基金管理人对经济形势和证券市场判断不准确、获取的信息不充分、投资操作出现失误等，都会影响基金的收益水平。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6、合规风险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合规风险指基金管理或运作过程中，违反国家法律、法规的规定，或者违反《基金合同》有关规定的风险。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7、本基金的特有风险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（1）港股通机制下，港股投资风险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投资范围为具有良好流动性的金融工具，包括沪/深港股票市场交易互联互通机制下允许投资的香港联合交易所上市的股票，除与其他投资于内地市场股票的基金所面临的共同风险外，本基金还面临港股通机制下因投资环境、投资者结构、投资标的构成、市场制度以及交易规则等差异所带来的特有风险，包括但不限于：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1）市场联动的风险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与内地A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2）股价波动的风险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港股市场实行T+0回转交易机制（即当日买入的股票，在交收前可以于当日卖出），同时对个股不设涨跌幅限制，加之香港市场结构性产品和衍生品种类相对丰富以及做空机制的存在；港股股价受到意外事件影响可能表现出比A股更为剧烈的股价波动，本基金持仓的波动风险可能相对较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3）汇率风险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另外本基金对港股买卖每日结算中所采用的报价汇率可能存在报价差异，本基金可能需额外承担买卖结算汇率报价点差所带来的损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4）港股通额度限制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现行的港股通规则，对港股通设有每日额度上限的限制；本基金可能因为港股通市场每日额度不足，而不能买入看好之投资标的进而错失投资机会的风险。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5）港股通可投资标的范围调整带来的风险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及时买入看好的投资标的，而错失投资机会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6）港股通交易日设定的风险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根据现行的港股通规则，只有沪/深港两地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7）交收制度带来的基金流动性风险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由于香港市场实行T+2日（T日买卖股票，资金和股票在T+2日才进行交收）的交收安排，本基金在T日（港股通交易日）卖出股票，T+2日（港股通交易日，即为卖出当日之后第二个港股通交易日）才能在香港市场完成清算交收，卖出的资金在T+3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A股和港股投资比例，造成比例超标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8）港股通下对公司行为的处理规则带来的风险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根据现行的港股通规则，本基金因所持港股通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本基金存在因上述规则，利益得不到最大化甚至受损的风险。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9）香港联合交易所停牌、退市等制度性差异带来的风险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香港联交所规定，在交易所认为所要求的停牌合理而且必要时，上市公司方可采取停牌措施。此外，不同于内地A股市场的停牌制度，联交所对停牌的具体时长并没有量化规定，只是确定了“尽量缩短停牌时间”的原则；同时与A股市场对存在退市可能的上市公司根据其财务状况在证券简称前加入相应标记(例如，ST及*ST等标记)以警示投资者风险的做法不同，在香港联交所市场没有风险警示板,联交所采用非量化的退市标准且在上市公司退市过程中拥有相对较大的主导权，使得联交所上市公司的退市情形较A股市场相对复杂。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因该等制度性差异，本基金可能存在因所持个股遭遇非预期性的停牌甚至退市而给基金带来损失的风险。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10）港股通规则变动带来的风险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本基金是在港股通机制和规则下参与香港联交所证券的投资，受港股通规则的限制和影响；本基金存在因港股通规则变动而带来基金投资受阻或所持资产组合价值发生波动的风险。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11）其他可能的风险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除上述显著风险外，本基金参与港股通投资，还可能面临的其他风险，包括但不限于：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①除因股票交易而发生的佣金、交易征费、交易费、交易系统费、印花税、过户费等税费外，在不进行交易时也可能要继续缴纳证券组合费等项费用，本基金存在因费用估算不准而导致账户透支的风险；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②在香港市场，部分中小市值港股成交量则相对较少，流动较为缺乏，本基金投资此类股票可能因缺乏交易对手而面临个股流动性风险；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③在本基金参与港股通交易中若香港联交所与内地交易所的证券交易服务公司之间的报盘系统或者通信链路出现故障，可能导致15分钟以上不能申报和撤销申报的交易中断风险；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④存在港股通香港结算机构因极端情况下无法交付证券和资金的结算风险；另外港股通境内结算实施分级结算原则，本基金可能面临</w:t>
      </w:r>
      <w:r>
        <w:rPr>
          <w:sz w:val="21"/>
          <w:szCs w:val="21"/>
        </w:rPr>
        <w:t xml:space="preserve"> </w:t>
      </w:r>
      <w:r>
        <w:rPr>
          <w:rFonts w:hint="eastAsia"/>
          <w:sz w:val="21"/>
          <w:szCs w:val="21"/>
        </w:rPr>
        <w:t xml:space="preserve">以下风险：（一）因结算参与人未完成与中国结算的集中交收，导致本基金应收资金或证券被暂不交付或处置；（二）结算参与人对本基金出现交收违约导致本基金未能取得应收证券或资金；（三）结算参与人向中国结算发送的有关本基金的证券划付指令有误的导致本基金权益受损；（四）其他因结算参与人未遵守相关业务规则导致本基金利益受到损害的情况。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（2）股指期货投资风险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本基金将股指期货纳入到投资范围中，股指期货采用保证金交易制度，由于保证金交易具有杠杆性，当出现不利行情时，微小的变动就可能会使投资人权益遭受较大损失。同时，</w:t>
      </w:r>
      <w:r>
        <w:rPr>
          <w:rFonts w:hint="eastAsia"/>
          <w:sz w:val="21"/>
          <w:szCs w:val="21"/>
        </w:rPr>
        <w:lastRenderedPageBreak/>
        <w:t xml:space="preserve">股指期货采用每日无负债结算制度，如果没有在规定的时间内补足保证金，按规定将被强制平仓，可能给基金净值带来重大损失。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（3）国债期货投资风险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1）杠杆风险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衍生品投资具有高杠杆特性，因此会放大基础资产所产生的盈利或损失，加大资产管理计划投资收益的波动性。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2）基差风险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基差是指股票指数现货价格与股指期货价格之间的差额。若产品运作中出现基差波动不确定性加大、基差向不利方向变动等情况，则可能对本计划投资产生影响。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3）合约展期风险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本计划所投资的期货合约主要包括股指期货当月和近月合约。当基金所持有的合约临近交割期限，即需要向较远月份的合约进行展期，展期过程中可能发生价差损失以及交易成本损失，将对投资收益产生影响。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4）强制平仓或止损风险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使用衍生品投资工具，有可能面临投资期内，价格反向波动过大导致的强制平仓或止损，比如结构化产品挂钩标的价格下跌超过一定程度触发止损条款，或期货保证金头寸不足导致强制平仓，在此情况下，委托资产将被迫产生损失，且日后标的资产价格回归也可能无法挽回全部已实现损失，对计划资产收益影响较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5）模型风险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衍生品属于虚拟投资品种，投资过程中需要通过模型进行风险定价，当投资人员使用了错误模型或者选择了不当的参数，会导致对风险或交易价格的估计错误而造成损失，损害资产管理计划的投资收益。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（4）资产支持证券投资风险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（5）中小企业私募债投资风险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由于中小企业私募债券发行门槛低，投资过程中的信用风险也相应增加。有可能出现债券到期后，企业不能按时清偿债务，或者在存续期内评级被下调的风险。中小企业私募债券不能在交易所上市交易，而是通过上证所固定收益证券综合电子平台及深交所综合协议交易平台，或证券公司进行转让，同时，交易所按照申报时间先后顺序对私募债券转让进行确认，对导致中小企业私募债券投资者超过200人的转让不予确认。因此，本基金在投资中小企业私募债券的过程中，面临着流动性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（6）本基金定期开放运作的风险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本基金以定期开放的方式运作，即采用封闭运作和开放运作交替循环的方式。自《基金合同》生效之日起（包括《基金合同》生效之日）或自每一开放期结束之日次日起（包括该日）2年的期间，本基金采取封闭运作模式，基金份额持有人不能赎回基金份额，因此，若基金份额持有人错过某一开放期而未能赎回，其份额将转入下一封闭期，至下一开放期方可赎回。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本基金开放期内单个开放日出现巨额赎回的，基金管理人对符合法律法规及《基金合同》约定的赎回申请应于当日全部予以接受和确认。基金经理会对可能出现的巨额赎回情况进行充分准备并做好流动性管理，但当基金在单个开放日出现巨额赎回被全部确认时，申请赎回的基金份额持有人仍有可能存在延缓支付赎回款项的风险，未赎回的基金份额持有人仍有可能承担短期内变现而带来的冲击成本对基金净资产产生的负面影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（3）如出现《基金合同》第五部分约定的资产规模过小等情形的，基金将根据基金合同的约定进行基金财产清算并终止。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二、声明</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1、投资者投资于本基金，须自行承担投资风险；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2、除基金管理人直接办理本基金的销售外，本基金还通过基金其他销售机构销售，基</w:t>
      </w:r>
      <w:bookmarkStart w:id="189" w:name="chapter_level1_19_68_section_1_end"/>
      <w:bookmarkEnd w:id="189"/>
      <w:r>
        <w:rPr>
          <w:rFonts w:hint="eastAsia"/>
          <w:sz w:val="21"/>
          <w:szCs w:val="21"/>
        </w:rPr>
        <w:t xml:space="preserve">金管理人与基金销售机构都不能保证投资人的收益或本金安全。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90" w:name="_Toc27511779"/>
      <w:bookmarkStart w:id="191" w:name="chapter_level1_20_69"/>
      <w:r>
        <w:rPr>
          <w:rFonts w:ascii="宋体" w:eastAsia="宋体" w:hAnsi="宋体" w:hint="eastAsia"/>
          <w:sz w:val="30"/>
        </w:rPr>
        <w:lastRenderedPageBreak/>
        <w:t>第十七部分  基金合同的变更、终止与基金财产的清算</w:t>
      </w:r>
      <w:bookmarkEnd w:id="190"/>
      <w:bookmarkEnd w:id="191"/>
    </w:p>
    <w:p w:rsidR="002C1A0C" w:rsidRDefault="00864859">
      <w:pPr>
        <w:pStyle w:val="a5"/>
        <w:spacing w:before="0" w:beforeAutospacing="0" w:after="0" w:afterAutospacing="0" w:line="360" w:lineRule="auto"/>
        <w:ind w:firstLine="420"/>
        <w:rPr>
          <w:sz w:val="21"/>
          <w:szCs w:val="21"/>
        </w:rPr>
      </w:pPr>
      <w:bookmarkStart w:id="192" w:name="chapter_level1_20_69_section_1"/>
      <w:bookmarkEnd w:id="192"/>
      <w:r>
        <w:rPr>
          <w:rStyle w:val="a7"/>
          <w:rFonts w:hint="eastAsia"/>
          <w:sz w:val="21"/>
          <w:szCs w:val="21"/>
        </w:rPr>
        <w:t>一、基金合同的变更</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2、关于《基金合同》变更的基金份额持有人大会决议须报中国证监会备案，自表决通过之日起生效，自决议生效后按规定在指定媒介公告。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二、基金合同的终止事由</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3、《基金合同》约定的其他情形；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三、基金财产的清算</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4、基金财产清算程序：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（3）对基金财产进行估值和变现；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（4）制作清算报告；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（5）聘请会计师事务所对清算报告进行外部审计，聘请律师事务所对清算报告出具法律意见书；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（7）对基金剩余财产进行分配。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5、基金财产清算的期限为6个月。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四、清算费用</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五、基金财产清算剩余资产的分配</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六、基金财产清算的公告</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备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七、基金财产清算账册及文件的保存</w:t>
      </w:r>
    </w:p>
    <w:p w:rsidR="002C1A0C" w:rsidRDefault="00864859">
      <w:pPr>
        <w:pStyle w:val="a5"/>
        <w:spacing w:before="0" w:beforeAutospacing="0" w:after="0" w:afterAutospacing="0" w:line="360" w:lineRule="auto"/>
        <w:ind w:firstLine="420"/>
        <w:rPr>
          <w:sz w:val="21"/>
          <w:szCs w:val="21"/>
        </w:rPr>
      </w:pPr>
      <w:bookmarkStart w:id="193" w:name="chapter_level1_20_69_section_1_end"/>
      <w:bookmarkEnd w:id="193"/>
      <w:r>
        <w:rPr>
          <w:rFonts w:hint="eastAsia"/>
          <w:sz w:val="21"/>
          <w:szCs w:val="21"/>
        </w:rPr>
        <w:t xml:space="preserve">基金财产清算账册及有关文件由基金托管人保存15年以上。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94" w:name="chapter_level1_21_71"/>
      <w:bookmarkStart w:id="195" w:name="_Toc27511780"/>
      <w:r>
        <w:rPr>
          <w:rFonts w:ascii="宋体" w:eastAsia="宋体" w:hAnsi="宋体" w:hint="eastAsia"/>
          <w:sz w:val="30"/>
        </w:rPr>
        <w:lastRenderedPageBreak/>
        <w:t>第十八部分  基金合同的内容摘要</w:t>
      </w:r>
      <w:bookmarkEnd w:id="194"/>
      <w:bookmarkEnd w:id="195"/>
    </w:p>
    <w:p w:rsidR="002C1A0C" w:rsidRDefault="00864859">
      <w:pPr>
        <w:pStyle w:val="a5"/>
        <w:spacing w:before="0" w:beforeAutospacing="0" w:after="0" w:afterAutospacing="0" w:line="360" w:lineRule="auto"/>
        <w:ind w:firstLine="420"/>
        <w:rPr>
          <w:sz w:val="21"/>
          <w:szCs w:val="21"/>
        </w:rPr>
      </w:pPr>
      <w:bookmarkStart w:id="196" w:name="chapter_level1_21_71_section_1"/>
      <w:bookmarkEnd w:id="196"/>
      <w:r>
        <w:rPr>
          <w:rStyle w:val="a7"/>
          <w:rFonts w:hint="eastAsia"/>
          <w:sz w:val="21"/>
          <w:szCs w:val="21"/>
        </w:rPr>
        <w:t>一、基金份额持有人、基金管理人和基金托管人的权利、义务</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（一）基金份额持有人的权利、义务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同一类别每份基金份额具有同等的合法权益。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1、根据《基金法》、《运作办法》及其他有关规定，基金份额持有人的权利包括但不限于：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（1）分享基金财产收益；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（2）参与分配清算后的剩余基金财产；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（3）在开放期内根据基金合同的约定依法申请赎回或转让其持有的基金份额；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（4）按照规定要求召开基金份额持有人大会或者召集基金份额持有人大会；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（5）出席或者委派代表出席基金份额持有人大会，对基金份额持有人大会审议事项行使表决权；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（6）查阅或者复制公开披露的基金信息资料；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（7）监督基金管理人的投资运作；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（8）对基金管理人、基金托管人、基金服务机构损害其合法权益的行为依法提起诉讼或仲裁；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（9）法律法规及中国证监会规定的和基金合同约定的其他权利。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2、根据《基金法》、《运作办法》及其他有关规定，基金份额持有人的义务包括但不限于：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（1）认真阅读并遵守基金合同、招募说明书等信息披露文件；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（2）了解所投资基金产品，了解自身风险承受能力，自主判断基金的投资价值，自主做出投资决策，自行承担投资风险；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（3）关注基金信息披露，及时行使权利和履行义务；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（4）缴纳基金认购、申购款项及法律法规和基金合同所规定的费用；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（5）在其持有的基金份额范围内，承担基金亏损或者基金合同终止的有限责任；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（6）不从事任何有损基金及其他基金合同当事人合法权益的活动；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（7）执行生效的基金份额持有人大会的决议；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（8）返还在基金交易过程中因任何原因获得的不当得利；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（9）法律法规及中国证监会规定的和基金合同约定的其他义务。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（二）基金管理人的权利与义务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1、根据《基金法》、《运作办法》及其他有关规定，基金管理人的权利包括但不限于：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（1）依法募集资金；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（2）自基金合同生效之日起，根据法律法规和基金合同独立运用并管理基金财产；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（3）依照基金合同收取基金管理费以及法律法规规定或中国证监会批准的其他费用；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（4）销售基金份额；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（5）按照规定召集基金份额持有人大会；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（7）在基金托管人更换时，提名新的基金托管人；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（8）选择、更换基金销售机构，对基金销售机构的相关行为进行监督和处理；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（9）担任或委托其他符合条件的机构担任基金登记机构办理基金登记业务并获得基金合同规定的费用；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（10）依据基金合同及有关法律规定决定基金收益的分配方案；</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（11）在基金合同约定的范围内，拒绝或暂停受理申购、赎回与转换申请； </w:t>
      </w:r>
    </w:p>
    <w:p w:rsidR="002C1A0C" w:rsidRDefault="00864859">
      <w:pPr>
        <w:pStyle w:val="a5"/>
        <w:spacing w:before="0" w:beforeAutospacing="0" w:after="0" w:afterAutospacing="0" w:line="360" w:lineRule="auto"/>
        <w:ind w:firstLine="420"/>
        <w:rPr>
          <w:sz w:val="21"/>
          <w:szCs w:val="21"/>
        </w:rPr>
      </w:pPr>
      <w:r>
        <w:rPr>
          <w:rFonts w:hint="eastAsia"/>
          <w:sz w:val="21"/>
          <w:szCs w:val="21"/>
        </w:rPr>
        <w:t>（12）依照法律法规为基金的利益对被投资公司行使股东权利，为基金的利益行使因基金财产投资于证券所产生的权利；</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（13）以基金管理人的名义，代表基金份额持有人的利益行使诉讼权利或者实施其他法律行为；</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（14）选择、更换律师事务所、会计师事务所、证券经纪商或其他为基金提供服务的外部机构；</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（15）在符合有关法律、法规的前提下，制订和调整有关基金认购、申购、赎回、转换、定期定额投资和非交易过户等业务规则；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（16）法律法规及中国证监会规定的和基金合同约定的其他权利。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2、根据《基金法》、《运作办法》及其他有关规定，基金管理人的义务包括但不限于：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（1）依法募集资金，办理或者委托经中国证监会认定的其他机构代为办理基金份额的发售、申购、赎回和登记事宜；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（2）办理基金备案手续；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（3）自基金合同生效之日起，以诚实信用、谨慎勤勉的原则管理和运用基金财产；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（4）配备足够的具有专业资格的人员进行基金投资分析、决策，以专业化的经营方式管理和运作基金财产；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（6）除依据《基金法》、基金合同及其他有关规定外，不得利用基金财产为自己及任何第三人谋取利益，不得委托第三人运作基金财产；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（7）依法接受基金托管人的监督；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（9）进行基金会计核算并编制基金财务会计报告；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（10）编制季度报告、中期报告和年度报告；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（11）严格按照《基金法》、基金合同及其他有关规定，履行信息披露及报告义务；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（13）按基金合同的约定确定基金收益分配方案，及时向基金份额持有人分配基金收益；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（14）按规定受理申购与赎回申请，及时、足额支付赎回款项；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（15）依据《基金法》、基金合同及其他有关规定召集基金份额持有人大会或配合基金托管人、基金份额持有人依法召集基金份额持有人大会；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（16）按规定保存基金财产管理业务活动的会计账册、报表、记录和其他相关资料15年以上；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（18）组织并参加基金财产清算小组，参与基金财产的保管、清理、估价、变现和分配；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（19）面临解散、依法被撤销或者被依法宣告破产时，及时报告中国证监会并通知基金托管人；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（20）因违反基金合同导致基金财产的损失或损害基金份额持有人合法权益时，应当承担赔偿责任，其赔偿责任不因其退任而免除；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（22）当基金管理人将其义务委托第三方处理时，应当对第三方处理有关基金事务的行为承担责任； </w:t>
      </w:r>
    </w:p>
    <w:p w:rsidR="002C1A0C" w:rsidRDefault="00864859">
      <w:pPr>
        <w:pStyle w:val="a5"/>
        <w:spacing w:before="0" w:beforeAutospacing="0" w:after="0" w:afterAutospacing="0" w:line="360" w:lineRule="auto"/>
        <w:ind w:firstLine="420"/>
        <w:rPr>
          <w:sz w:val="21"/>
          <w:szCs w:val="21"/>
        </w:rPr>
      </w:pPr>
      <w:r>
        <w:rPr>
          <w:rFonts w:hint="eastAsia"/>
          <w:sz w:val="21"/>
          <w:szCs w:val="21"/>
        </w:rPr>
        <w:t>（23）以基金管理人名义，代表基金份额持有人利益行使诉讼权利或实施其他法律行为；</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（25）执行生效的基金份额持有人大会的决议；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（26）建立并保存基金份额持有人名册；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（27）法律法规及中国证监会规定的和基金合同约定的其他义务。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（三）基金托管人的权利与义务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1、根据《基金法》、《运作办法》及其他有关规定，基金托管人的权利包括但不限于：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（1）自基金合同生效之日起，依法律法规和基金合同的规定安全保管基金财产；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（2）依基金合同约定获得基金托管费以及法律法规规定或监管部门批准的其他费用；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（4）根据相关市场规则，为基金开设资金账户、证券账户等投资所需账户，为基金办理证券交易资金清算；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（5）提议召开或召集基金份额持有人大会；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（6）在基金管理人更换时，提名新的基金管理人；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（7）法律法规及中国证监会规定的和基金合同约定的其他权利。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2、根据《基金法》、《运作办法》及其他有关规定，基金托管人的义务包括但不限于：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（1）以诚实信用、勤勉尽责的原则持有并安全保管基金财产；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（2）设立专门的基金托管部门，具有符合要求的营业场所，配备足够的、合格的熟悉基金托管业务的专职人员，负责基金财产托管事宜；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（4）除依据《基金法》、基金合同及其他有关规定外，不得利用基金财产为自己及任何第三人谋取利益，不得委托第三人托管基金财产；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（5）保管由基金管理人代表基金签订的与基金有关的重大合同及有关凭证；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（6）按规定开设基金财产的资金账户、证券账户等投资所需账户，按照基金合同的约定，根据基金管理人的投资指令，及时办理清算、交割事宜；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（7）保守基金商业秘密，除《基金法》、基金合同及其他有关规定另有规定外，在基金信息公开披露前予以保密，不得向他人泄露；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（8）复核、审查基金管理人计算的基金资产净值、基金份额净值、基金份额申购、赎回价格；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（9）办理与基金托管业务活动有关的信息披露事项；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（11）保存基金托管业务活动的记录、账册、报表和其他相关资料15年以上；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（12）建立并保存基金份额持有人名册；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（13）按规定制作相关账册并与基金管理人核对；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（14）依据基金管理人的指令或有关规定向基金份额持有人支付基金收益和赎回款项；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（15）依据《基金法》、基金合同及其他有关规定，召集基金份额持有人大会或配合基金管理人、基金份额持有人依法召集基金份额持有人大会；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（16）按照法律法规和基金合同的规定监督基金管理人的投资运作；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（17）参加基金财产清算小组，参与基金财产的保管、清理、估价、变现和分配；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（18）面临解散、依法被撤销或者被依法宣告破产时，及时报告中国证监会和银行监管机构，并通知基金管理人；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（19）因违反基金合同导致基金财产损失时，应承担赔偿责任，其赔偿责任不因其退任而免除；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（21）执行生效的基金份额持有人大会的决议；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（22）法律法规及中国证监会规定的和基金合同约定的其他义务。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二、基金份额持有人大会召集、议事及表决的程序和规则</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基金份额持有人大会由基金份额持有人组成，基金份额持有人的合法授权代表有权代表基金份额持有人出席会议并表决。基金份额持有人持有的每一基金份额拥有平等的投票权。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本基金份额持有人大会不设日常机构。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（一）召开事由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1、当出现或需要决定下列事由之一的，应当召开基金份额持有人大会：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（1）终止《基金合同》，基金合同另有约定除外；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（2）更换基金管理人；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（3）更换基金托管人；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（4）转换基金运作方式；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（5）调整基金管理人、基金托管人的报酬标准或提高销售服务费率；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（6）变更基金类别；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（7）本基金与其他基金的合并；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（8）变更基金投资目标、范围或策略；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（9）变更基金份额持有人大会程序；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（10）基金管理人或基金托管人要求召开基金份额持有人大会；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（12）对基金合同当事人权利和义务产生重大影响的其他事项；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（13）法律法规、基金合同或中国证监会规定的其他应当召开基金份额持有人大会的事项。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2、以下情况可由基金管理人和基金托管人协商后修改，不需召开基金份额持有人大会：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（1）法律法规要求增加的基金费用的收取；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2）在法律法规和《基金合同》规定的范围内且对现有基金份额持有人利益无实质性不利影响的前提下调整本基金的申购费率、调低赎回费率、销售服务费或变更收费方式、调整基金份额类别设置、对基金份额分类办法及规则进行调整；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（3）因相应的法律法规、登记机构的相关业务规则发生变动而应当对《基金合同》进行修改；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（4）对《基金合同》的修改对基金份额持有人利益无实质性不利影响或修改不涉及《基金合同》当事人权利义务关系发生重大变化；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（5）在法律法规和《基金合同》规定的范围内且对现有基金份额持有人利益无实质性不利影响的前提下调整本基金份额类别的设置；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（6）按照法律法规和《基金合同》规定不需召开基金份额持有人大会的以外的其他情形。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（二）会议召集人及召集方式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1、除法律法规规定或基金合同另有约定外，基金份额持有人大会由基金管理人召集。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2、基金管理人未按规定召集或不能召集时，由基金托管人召集。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2C1A0C" w:rsidRDefault="00864859">
      <w:pPr>
        <w:pStyle w:val="a5"/>
        <w:spacing w:before="0" w:beforeAutospacing="0" w:after="0" w:afterAutospacing="0" w:line="360" w:lineRule="auto"/>
        <w:ind w:firstLine="420"/>
        <w:rPr>
          <w:sz w:val="21"/>
          <w:szCs w:val="21"/>
        </w:rPr>
      </w:pPr>
      <w:r>
        <w:rPr>
          <w:rFonts w:hint="eastAsia"/>
          <w:sz w:val="21"/>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w:t>
      </w:r>
      <w:r>
        <w:rPr>
          <w:rFonts w:hint="eastAsia"/>
          <w:sz w:val="21"/>
          <w:szCs w:val="21"/>
        </w:rPr>
        <w:lastRenderedPageBreak/>
        <w:t xml:space="preserve">人依法自行召集基金份额持有人大会的，基金管理人、基金托管人应当配合，不得阻碍、干扰。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6、基金份额持有人会议的召集人负责选择确定开会时间、地点、方式和权益登记日。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（三）召开基金份额持有人大会的通知时间、通知内容、通知方式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1、召开基金份额持有人大会，召集人应于会议召开前30日，在指定媒介公告。基金份额持有人大会通知应至少载明以下内容：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（1）会议召开的时间、地点和会议形式；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（2）会议拟审议的事项、议事程序和表决方式；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（3）有权出席基金份额持有人大会的基金份额持有人的权益登记日；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（4）授权委托证明的内容要求（包括但不限于代理人身份，代理权限和代理有效期限等）、授权方式、送达时间和地点；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（5）会务常设联系人姓名及联系电话；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（6）出席会议者必须准备的文件和必须履行的手续；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（7）召集人需要通知的其他事项。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书面表决意见寄交的截止时间和收取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（四）基金份额持有人出席会议的方式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基金份额持有人大会可通过现场开会方式、通讯开会方式或法律法规、监管机构允许的其他方式召开，会议的召开方式由会议召集人确定。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2、通讯开会。通讯开会系指基金份额持有人将其对表决事项的投票以书面形式在表决截至日以前送达至召集人指定的地址。通讯开会应以书面方式进行表决。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在同时符合以下条件时，通讯开会的方式视为有效：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（1）会议召集人按基金合同约定公布会议通知后，在2个工作日内连续公布相关提示性公告；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3、在法律法规和监管机关允许的情况下，本基金的基金份额持有人亦可采用其他非书面方式授权其代理人出席基金份额持有人大会，具体方式由会议召集人确定并在会议通知中列明。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4、在会议召开方式上，本基金亦可采用其他非现场方式或者以现场方式与非现场方式相结合的方式召开基金份额持有人大会，会议程序比照现场开会和通讯方式开会的程序进行。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（五）议事内容与程序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1、议事内容及提案权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基金份额持有人大会的召集人发出召集会议的通知后，对原有提案的修改应当在基金份额持有人大会召开前及时公告。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基金份额持有人大会不得对未事先公告的议事内容进行表决。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2、议事程序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（1）现场开会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会议召集人应当制作出席会议人员的签名册。签名册载明参加会议人员姓名（或单位名称）、身份证明文件号码、持有或代表有表决权的基金份额、委托人姓名（或单位名称）和联系方式等事项。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（2）通讯开会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（六）表决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基金份额持有人所持每份基金份额有一票表决权。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基金份额持有人大会决议分为一般决议和特别决议：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基金份额持有人大会采取记名方式进行投票表决。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书面意见的基金份额持有人所代表的基金份额总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基金份额持有人大会的各项提案或同一项提案内并列的各项议题应当分开审议、逐项表决。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（七）计票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1、现场开会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（2）监票人应当在基金份额持有人表决后立即进行清点并由大会主持人当场公布计票结果。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（4）计票过程应由公证机关予以公证，基金管理人或基金托管人拒不出席大会的，不影响计票的效力。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2、通讯开会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意见的计票进行监督的，不影响计票和表决结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（八）生效与公告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基金份额持有人大会的决议，召集人应当自通过之日起5日内报中国证监会备案。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基金份额持有人大会的决议自表决通过之日起生效。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三、基金合同的解除和终止的事由、程序</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（一）《基金合同》的变更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2、关于《基金合同》变更的基金份额持有人大会决议自表决通过之日起生效，并自决议生效后按规定在指定媒介公告。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（二）《基金合同》的终止事由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有下列情形之一的，《基金合同》应当终止：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1、基金份额持有人大会决定终止的；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2、基金管理人、基金托管人职责终止，在6个月内没有新基金管理人、新基金托管人承接的；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3、《基金合同》约定的其他情形；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4、相关法律法规和中国证监会规定的其他情况。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（三）基金财产的清算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财产清算小组组成：基金财产清算小组成员由基金管理人、基金托管人、具有从事证券、期货相关业务资格的注册会计师、律师以及中国证监会指定的人员组成。基金财产清算小组可以聘用必要的工作人员。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3、基金财产清算小组职责：基金财产清算小组负责基金财产的保管、清理、估价、变现和分配。基金财产清算小组可以依法进行必要的民事活动。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4、基金财产清算程序：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（3）对基金财产进行估值和变现；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（4）制作清算报告；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（7）对基金剩余财产进行分配。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5、基金财产清算的期限为6个月。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（四）清算费用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清算费用是指基金财产清算小组在进行基金清算过程中发生的所有合理费用，清算费用由基金财产清算小组优先从基金财产中支付。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（五）基金财产清算剩余资产的分配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（六）基金财产清算的公告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清算过程中的有关重大事项须及时公告；基金财产清算报告经具备证券、期货相关业务资格的会计师事务所审计并由律师事务所出具法律意见书后报中国证监会备案并公告。基金</w:t>
      </w:r>
      <w:r>
        <w:rPr>
          <w:rFonts w:hint="eastAsia"/>
          <w:sz w:val="21"/>
          <w:szCs w:val="21"/>
        </w:rPr>
        <w:lastRenderedPageBreak/>
        <w:t xml:space="preserve">财产清算公告于基金财产清算报告报中国证监会备案后5个工作日内由基金财产清算小组进行公告。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（七）基金财产清算账册及文件的保存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基金财产清算账册及有关文件由基金托管人保存15年以上。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（八）基金合并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本基金与其他基金的合并应当按照法律法规规定的程序进行。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四、争议解决方式</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因本协议产生或与之相关的争议，各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争议处理期间，基金合同当事人应恪守各自的职责，继续忠实、勤勉、尽责地履行基金合同规定的义务，维护基金份额持有人的合法权益。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《基金合同》受中国法律（为基金合同之目的，在此不包括香港、澳门特别行政区和台湾地区法律）管辖。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五、基金合同存放地和投资者取得基金合同的方式</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《基金合同》可印制成册，供投资者在基金管理人、基金托管人、销售机构的办公场所</w:t>
      </w:r>
      <w:bookmarkStart w:id="197" w:name="chapter_level1_21_71_section_1_end"/>
      <w:bookmarkEnd w:id="197"/>
      <w:r>
        <w:rPr>
          <w:rFonts w:hint="eastAsia"/>
          <w:sz w:val="21"/>
          <w:szCs w:val="21"/>
        </w:rPr>
        <w:t xml:space="preserve">和营业场所查阅。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198" w:name="chapter_level1_22_72"/>
      <w:bookmarkStart w:id="199" w:name="_Toc27511781"/>
      <w:r>
        <w:rPr>
          <w:rFonts w:ascii="宋体" w:eastAsia="宋体" w:hAnsi="宋体" w:hint="eastAsia"/>
          <w:sz w:val="30"/>
        </w:rPr>
        <w:lastRenderedPageBreak/>
        <w:t>第十九部分  基金托管协议的内容摘要</w:t>
      </w:r>
      <w:bookmarkEnd w:id="198"/>
      <w:bookmarkEnd w:id="199"/>
    </w:p>
    <w:p w:rsidR="002C1A0C" w:rsidRDefault="00864859">
      <w:pPr>
        <w:pStyle w:val="a5"/>
        <w:spacing w:before="0" w:beforeAutospacing="0" w:after="0" w:afterAutospacing="0" w:line="360" w:lineRule="auto"/>
        <w:ind w:firstLine="420"/>
        <w:rPr>
          <w:sz w:val="21"/>
          <w:szCs w:val="21"/>
        </w:rPr>
      </w:pPr>
      <w:bookmarkStart w:id="200" w:name="chapter_level1_22_72_section_1"/>
      <w:bookmarkEnd w:id="200"/>
      <w:r>
        <w:rPr>
          <w:rStyle w:val="a7"/>
          <w:rFonts w:hint="eastAsia"/>
          <w:sz w:val="21"/>
          <w:szCs w:val="21"/>
        </w:rPr>
        <w:t>一、托管协议当事人</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（一）基金管理人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名称：</w:t>
      </w:r>
      <w:bookmarkStart w:id="201" w:name="field_49_managerorgfullname_6"/>
      <w:r>
        <w:rPr>
          <w:rFonts w:hint="eastAsia"/>
          <w:sz w:val="21"/>
          <w:szCs w:val="21"/>
        </w:rPr>
        <w:t>博时基金管理有限公司</w:t>
      </w:r>
      <w:bookmarkEnd w:id="201"/>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住所： 深圳市福田区莲花街道福新社区益田路5999号基金大厦21层 </w:t>
      </w:r>
    </w:p>
    <w:p w:rsidR="002C1A0C" w:rsidRDefault="00864859">
      <w:pPr>
        <w:pStyle w:val="a5"/>
        <w:spacing w:before="0" w:beforeAutospacing="0" w:after="0" w:afterAutospacing="0" w:line="360" w:lineRule="auto"/>
        <w:ind w:firstLine="420"/>
        <w:rPr>
          <w:sz w:val="21"/>
          <w:szCs w:val="21"/>
        </w:rPr>
      </w:pPr>
      <w:r>
        <w:rPr>
          <w:rFonts w:hint="eastAsia"/>
          <w:sz w:val="21"/>
          <w:szCs w:val="21"/>
        </w:rPr>
        <w:t>办公地址： 广东省深圳市福田区益田路5999号基金大厦21层</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邮政编码：518040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法定代表人：张光华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设立日期：1998年7月13日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批准设立机关及批准设立文号：中国证监会证监基字【1998】26号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组织形式：有限责任公司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注册资本：2.5亿元人民币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存续期限：持续经营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（二）基金托管人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名称：</w:t>
      </w:r>
      <w:bookmarkStart w:id="202" w:name="field_49_trustorgfullname_2"/>
      <w:r>
        <w:rPr>
          <w:rFonts w:hint="eastAsia"/>
          <w:sz w:val="21"/>
          <w:szCs w:val="21"/>
        </w:rPr>
        <w:t>中国工商银行股份有限公司</w:t>
      </w:r>
      <w:bookmarkEnd w:id="202"/>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住所：北京市西城区复兴门内大街55号（100032）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法定代表人：陈四清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电话：（010）66105799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传真：（010）66105798 </w:t>
      </w:r>
    </w:p>
    <w:p w:rsidR="002C1A0C" w:rsidRDefault="00864859">
      <w:pPr>
        <w:pStyle w:val="a5"/>
        <w:spacing w:before="0" w:beforeAutospacing="0" w:after="0" w:afterAutospacing="0" w:line="360" w:lineRule="auto"/>
        <w:ind w:firstLine="420"/>
        <w:rPr>
          <w:sz w:val="21"/>
          <w:szCs w:val="21"/>
        </w:rPr>
      </w:pPr>
      <w:r>
        <w:rPr>
          <w:rFonts w:hint="eastAsia"/>
          <w:sz w:val="21"/>
          <w:szCs w:val="21"/>
        </w:rPr>
        <w:t>联系人：郭明</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成立时间：1984年1月1日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组织形式：股份有限公司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注册资本：人民币35,640,625.7089万元 </w:t>
      </w:r>
    </w:p>
    <w:p w:rsidR="002C1A0C" w:rsidRDefault="00864859">
      <w:pPr>
        <w:pStyle w:val="a5"/>
        <w:spacing w:before="0" w:beforeAutospacing="0" w:after="0" w:afterAutospacing="0" w:line="360" w:lineRule="auto"/>
        <w:ind w:firstLine="420"/>
        <w:rPr>
          <w:sz w:val="21"/>
          <w:szCs w:val="21"/>
        </w:rPr>
      </w:pPr>
      <w:r>
        <w:rPr>
          <w:rFonts w:hint="eastAsia"/>
          <w:sz w:val="21"/>
          <w:szCs w:val="21"/>
        </w:rPr>
        <w:t>批准设立机关和设立文号：国务院《关于中国人民银行专门行使中央银行职能的决定》（国发[1983]146号）</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存续期间：持续经营 </w:t>
      </w:r>
    </w:p>
    <w:p w:rsidR="002C1A0C" w:rsidRDefault="00864859">
      <w:pPr>
        <w:pStyle w:val="a5"/>
        <w:spacing w:before="0" w:beforeAutospacing="0" w:after="0" w:afterAutospacing="0" w:line="360" w:lineRule="auto"/>
        <w:ind w:firstLine="420"/>
        <w:rPr>
          <w:sz w:val="21"/>
          <w:szCs w:val="21"/>
        </w:rPr>
      </w:pPr>
      <w:r>
        <w:rPr>
          <w:rFonts w:hint="eastAsia"/>
          <w:sz w:val="21"/>
          <w:szCs w:val="21"/>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w:t>
      </w:r>
      <w:r>
        <w:rPr>
          <w:rFonts w:hint="eastAsia"/>
          <w:sz w:val="21"/>
          <w:szCs w:val="21"/>
        </w:rPr>
        <w:lastRenderedPageBreak/>
        <w:t xml:space="preserve">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二、基金托管人对基金管理人的业务监督和核查</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（一）基金托管人对基金管理人的投资行为行使监督权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1、基金托管人根据有关法律法规的规定和《基金合同》的约定，对下述基金投资范围、投资对象进行监督。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的投资范围主要为具有良好流动性的金融工具，包括国内依法发行上市的股票（包括中小板、创业板及其他经中国证监会核准上市的股票）、沪/深港股票市场交易互联互通机制下允许投资的香港联合交易所上市的股票（以下简称“港股通标的股票”）、债券（包括国债、金融债、企业债、公司债、央行票据、中期票据、短期融资券、可转换债券（含可分离交易可转换债券）、可交换债、次级债、中小企业私募债等）、货币市场工具、同业存单、权证、股指期货、国债期货、资产支持证券以及法律法规或中国证监会允许基金投资的其他金融工具（但须符合中国证监会的相关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的投资组合比例为：在开放期内，本基金的股票资产投资比例为0%-95%，港股通标的股票的投资比例为股票资产的0%-50%；每个交易日日终在扣除股指期货合约、国债期货合约所需缴纳的交易保证金后，现金或到期日在一年以内的政府债券不低于基金资产净值的5%。在封闭期内，本基金的股票资产投资比例为30%-100%，港股通标的股票的投资比例为股票资产的0%-50%，每个交易日日终在扣除股指期货合约、国债期货合约需缴纳的交易保证金后，应当保持不低于交易保证金一倍的现金。权证投资比例不得超过基金资产净值的3%。前述现金不包括结算备付金、存出保证金、应收申购款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如法律法规或监管机构以后允许基金投资的其他品种，基金管理人在履行适当程序后，可以将其纳入投资范围。 </w:t>
      </w:r>
    </w:p>
    <w:p w:rsidR="00864859" w:rsidRDefault="00864859">
      <w:pPr>
        <w:pStyle w:val="a5"/>
        <w:spacing w:before="0" w:beforeAutospacing="0" w:after="0" w:afterAutospacing="0" w:line="360" w:lineRule="auto"/>
        <w:ind w:firstLine="420"/>
        <w:rPr>
          <w:sz w:val="21"/>
          <w:szCs w:val="21"/>
        </w:rPr>
      </w:pPr>
      <w:r>
        <w:rPr>
          <w:rFonts w:hint="eastAsia"/>
          <w:sz w:val="21"/>
          <w:szCs w:val="21"/>
        </w:rPr>
        <w:t>本基金不得投资于相关法律、法规、部门规章及《基金合同》禁止投资的投资工具。</w:t>
      </w:r>
    </w:p>
    <w:p w:rsidR="00864859" w:rsidRDefault="00864859">
      <w:pPr>
        <w:pStyle w:val="a5"/>
        <w:spacing w:before="0" w:beforeAutospacing="0" w:after="0" w:afterAutospacing="0" w:line="360" w:lineRule="auto"/>
        <w:ind w:firstLine="420"/>
        <w:rPr>
          <w:sz w:val="21"/>
          <w:szCs w:val="21"/>
        </w:rPr>
      </w:pPr>
      <w:r>
        <w:rPr>
          <w:rFonts w:hint="eastAsia"/>
          <w:sz w:val="21"/>
          <w:szCs w:val="21"/>
        </w:rPr>
        <w:lastRenderedPageBreak/>
        <w:t>2、基金托管人根据有关法律法规的规定及《基金合同》的约定对下述基金投融资比例进行监督：</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在开放期内，本基金的股票资产投资比例为基金资产0%-95%，港股通标的股票的投资比例为股票资产的0%-50%；在封闭期内，本基金的股票投资比例为基金资产的30%-100%，港股通标的股票的投资比例为股票资产的0%-50%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开放期内，每个交易日日终在扣除股指期货合约、国债期货合约需缴纳的交易保证金后，保持不低于基金资产净值5％的现金或者到期日在一年以内的政府债券；在封闭期内，每个交易日日终在扣除股指期货合约、国债期货合约需缴纳的交易保证金后，应当保持不低于交易保证金一倍的现金。其中，现金不包括结算备付金、存出保证金、应收申购款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（3）本基金持有一家公司发行的证券，其市值（若同时持有一家公司发行的A股和H股，则为A股与H股合计市值）不超过基金资产净值的10％；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（4）本基金管理人管理且由基金托管人托管的全部基金持有一家公司发行的证券，不超过该证券（A股与H股合计）的10％；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（5）本基金持有的全部权证，其市值不得超过基金资产净值的3％；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（6）本基金管理人管理且由基金托管人托管的全部基金持有的同一权证，不得超过该权证的10％；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（7）本基金在任何交易日买入权证的总金额，不得超过上一交易日基金资产净值的0.5％；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（8）本基金投资于同一原始权益人的各类资产支持证券的比例，不得超过基金资产净值的10％；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（9）本基金持有的全部资产支持证券，其市值不得超过基金资产净值的20％；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（10）本基金持有的同一(指同一信用级别)资产支持证券的比例，不得超过该资产支持证券规模的10％；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（11）本基金管理人管理且由基金托管人托管的全部基金投资于同一原始权益人的各类资产支持证券，不得超过其各类资产支持证券合计规模的10％；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（12）本基金应投资于信用级别评级为BBB以上(含BBB)的资产支持证券。基金持有资产支持证券期间，如果其信用等级下降、不再符合投资标准，应在评级报告发布之日起3个月内予以全部卖出；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（13）基金财产参与股票发行申购，本基金所申报的金额不超过本基金的总资产，本基金所申报的股票数量不超过拟发行股票公司本次发行股票的总量；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（14）本基金进入全国银行间同业市场进行债券回购的资金余额不得超过基金资产净值的40%；本基金在全国银行间同业市场中的债券回购最长期限为1年，债券回购到期后不得展期；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（15）封闭期内，本基金资产总值不得超过基金资产净值的200%；开放期内，本基金资产总值不得超过基金资产净值的140%；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（16）本基金参与股指期货、国债期货投资时，应遵循下列限制：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1）本基金在任何交易日日终，持有的买入股指期货合约价值，不得超过基金资产净值的10%；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开放期内的每个交易日日终，本基金持有的买入股指期货和国债期货合约价值和有价证券市值之和，不得超过基金资产净值的95%；封闭期内的每个交易日日终，持有的买入股指期货和国债期货合约价值和有价证券市值之和，不得超过基金资产净值的100%，其中，有价证券指股票、债券（不含到期日在一年以内的政府债券）、权证、资产支持证券、买入返售金融资产（不含质押式回购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3）本基金在任何交易日日终，持有的卖出股指期货合约价值不得超过基金持有的股票总市值的20%；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4）本基金所持有的股票市值和买入、卖出股指期货合约价值，合计（轧差计算）应当符合《基金合同》关于股票投资比例的有关规定；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5）本基金在任何交易日内交易（不包括平仓）的股指期货合约的成交金额不得超过上一交易日基金资产净值的20%；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6）本基金在任何交易日日终，持有的买入国债期货合约价值，不得超过基金资产净值的15%；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7）本基金在任何交易日日终，持有的卖出国债期货合约价值不得超过基金持有的债券总市值的30%；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8）本基金所持有的债券（不含到期日在一年以内的政府债券）市值和买入、卖出国债期货合约价值，合计（轧差计算）应当符合《基金合同》关于债券投资比例的有关规定；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9）本基金在任何交易日内交易（不包括平仓）的国债期货合约的成交金额不得超过上一交易日基金资产净值的30%；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（17）本基金在封闭期内投资中小企业私募债券的剩余期限，不得超过本基金的剩余封闭运作期；本基金在开放期内投资中小企业私募债券的剩余期限，不得超过投资日至下一封闭期到期日的期限；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（18）本基金持有单只中小企业私募债券，其市值不得超过本基金资产净值的10%；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19）本基金管理人管理且由基金托管人托管的全部开放式基金持有一家上市公司发行的可流通股票，不得超过该上市公司可流通股票的15%；本基金管理人管理的全部投资组合持有一家上市公司发行的可流通股票，不得超过该上市公司可流通股票的30%；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（20）开放期内，本基金主动投资于流动性受限资产的市值合计不得超过基金资产净值的15%；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因证券市场波动、上市公司股票停牌、基金规模变动等基金管理人之外的因素致使基金不符合前款所规定比例限制的，基金管理人不得主动新增流动性受限资产的投资；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（21）本基金与私募类证券资管产品及中国证监会认定的其他主体为交易对手开展逆回购交易的，可接受质押品的资质要求应当与基金合同约定的投资范围保持一致；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除上述第（2）、（12）、（20）、（21）项以外，因证券、期货市场波动、上市公司合并、基金规模变动等基金管理人之外的因素致使基金投资比例不符合上述规定投资比例的，基金管理人应当在10个交易日内进行调整，但中国证监会规定的特殊情形除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法律法规或监管部门取消或变更上述限制，如适用于本基金，基金管理人在履行适当程序后，则本基金投资不再受相关限制，或以变更后的规定为准。基金管理人应在出现可预见资产规模大幅变动的情况下，至少提前2个工作日正式向基金托管人发函说明基金可能变动规模和公司应对措施，便于托管人实施交易监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对于因法律法规变化导致本基金投资范围及投资限制调整的，基金管理人应提前通知基金托管人，经基金托管人书面同意后方可纳入投资监督范围。基金管理人知晓基金托管人投资监督职责的履行受外部数据来源或系统开发等因素影响，基金管理人应为托管人系统调整预留所需的合理必要时间。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3.基金托管人根据有关法律法规的规定及《基金合同》的约定对下述基金投资禁止行为进行监督：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根据法律法规的规定及《基金合同》的约定，本基金禁止从事下列行为：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（1）承销证券；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（2）违反规定向他人贷款或者提供担保；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（3）从事承担无限责任的投资；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（4）买卖其他基金份额，但是中国证监会另有规定的除外；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（5）向其基金管理人、基金托管人出资。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法律法规或监管部门取消或变更上述禁止性规定，如适用于本基金，基金管理人在履行适当程序后可不受上述规定的限制或按变更后的规定执行。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托管人依据有关法律法规的规定和《基金合同》的约定对基金管理人参与银行间债券市场进行监督。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基金管理人在银行间市场进行现券买卖和回购交易时，以DVP(券款兑付)的交易结算方式进行交易。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基金托管人对基金管理人选择存款银行进行监督。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6.基金托管人对基金投资流通受限证券的监督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（1）基金投资流通受限证券，应遵守《关于基金投资非公开发行股票等流通受限证券有关问题的通知》等有关法律法规规定。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对于依据交易程序尚未成交的且基金托管人在交易前能够监控的投资指令，基金托管人发现该投资指令违反关法律法规规定或者违反《基金合同》约定的，应当拒绝执行，立即通知基金管理人，并向中国证监会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对于必须于估值完成后方可获知的监控指标或依据交易程序已经成交的投资指令，基金托管人发现该投资指令违反法律法规或者违反《基金合同》约定的，应当立即通知基金管理人，并报告中国证监会。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基金托管人发现基金管理人有重大违规行为，应立即报告中国证监会，同时通知基金管理人限期纠正。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三、基金管理人对基金托管人的业务核查</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对基金托管人履行托管职责情况进行核查，核查事项包括但不限于基金托管人安全保管基金财产、开设基金财产的资金账户、证券账户、期货账户等投资所需账户、复核基金管理人计算的基金资产净值和各类基金份额净值、根据基金管理人指令办理清算交收、相关信息披露和监督基金投资运作等行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基金管理人发现基金托管人有重大违规行为，应立即报告中国证监会和银行业监督管理机构，同时通知基金托管人限期纠正。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基金托管人应积极配合基金管理人的核查行为，包括但不限于：提交相关资料以供基金管理人核查托管财产的完整性和真实性，在规定时间内答复基金管理人并改正。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四、基金财产的保管</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（一）基金财产保管的原则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1、基金财产应独立于基金管理人、基金托管人的固有财产。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2、基金托管人应安全保管基金财产。未经基金管理人的正当指令，不得自行运用、处分、分配基金的任何财产。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3、基金托管人按照规定开设基金财产的资金账户、证券账户、期货账户等投资所需账户。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rsidR="002C1A0C" w:rsidRDefault="00864859">
      <w:pPr>
        <w:pStyle w:val="a5"/>
        <w:spacing w:before="0" w:beforeAutospacing="0" w:after="0" w:afterAutospacing="0" w:line="360" w:lineRule="auto"/>
        <w:ind w:firstLine="420"/>
        <w:rPr>
          <w:sz w:val="21"/>
          <w:szCs w:val="21"/>
        </w:rPr>
      </w:pPr>
      <w:r>
        <w:rPr>
          <w:rFonts w:hint="eastAsia"/>
          <w:sz w:val="21"/>
          <w:szCs w:val="21"/>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予以必要的协助配合，但对此不承担责任。</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（二）募集资金的验证 </w:t>
      </w:r>
    </w:p>
    <w:p w:rsidR="002C1A0C" w:rsidRDefault="00864859">
      <w:pPr>
        <w:pStyle w:val="a5"/>
        <w:spacing w:before="0" w:beforeAutospacing="0" w:after="0" w:afterAutospacing="0" w:line="360" w:lineRule="auto"/>
        <w:ind w:firstLine="420"/>
        <w:rPr>
          <w:sz w:val="21"/>
          <w:szCs w:val="21"/>
        </w:rPr>
      </w:pPr>
      <w:r>
        <w:rPr>
          <w:rFonts w:hint="eastAsia"/>
          <w:sz w:val="21"/>
          <w:szCs w:val="21"/>
        </w:rPr>
        <w:t>募集期内销售机构按销售与服务代理协议的约定，将认购资金划入基金管理人在具有托管资格的商业银行开设的</w:t>
      </w:r>
      <w:bookmarkStart w:id="203" w:name="field_49_managerorgfullname_7"/>
      <w:r>
        <w:rPr>
          <w:rFonts w:hint="eastAsia"/>
          <w:sz w:val="21"/>
          <w:szCs w:val="21"/>
        </w:rPr>
        <w:t>博时基金管理有限公司</w:t>
      </w:r>
      <w:bookmarkEnd w:id="203"/>
      <w:r>
        <w:rPr>
          <w:rFonts w:hint="eastAsia"/>
          <w:sz w:val="21"/>
          <w:szCs w:val="21"/>
        </w:rPr>
        <w:t xml:space="preserve">基金认购专户。该账户由基金管理人开立并管理。基金募集期满或停止募集时，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若基金募集期限届满，未能达到《基金合同》生效的条件，由基金管理人按规定办理退款事宜。 </w:t>
      </w:r>
    </w:p>
    <w:p w:rsidR="00864859" w:rsidRDefault="00864859">
      <w:pPr>
        <w:pStyle w:val="a5"/>
        <w:spacing w:before="0" w:beforeAutospacing="0" w:after="0" w:afterAutospacing="0" w:line="360" w:lineRule="auto"/>
        <w:ind w:firstLine="420"/>
        <w:rPr>
          <w:sz w:val="21"/>
          <w:szCs w:val="21"/>
        </w:rPr>
      </w:pPr>
      <w:r>
        <w:rPr>
          <w:rFonts w:hint="eastAsia"/>
          <w:sz w:val="21"/>
          <w:szCs w:val="21"/>
        </w:rPr>
        <w:t>（三）基金的银行账户的开立和管理</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基金托管人以基金托管人的名义在其营业机构开设资产托管专户，保管基金的银行存款。该账户的开设和管理由基金托管人承担。本基金的一切货币收支活动，均需通过基金托管人的资产托管专户进行。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资产托管专户的管理应符合《人民币银行结算账户管理办法》、《现金管理暂行条例》、《人民币利率管理规定》、《利率管理暂行规定》、《支付结算办法》以及银行业监督管理机构的其他规定。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（四）基金证券账户与证券交易资金账户的开设和管理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基金托管人以基金托管人和本基金联名的方式在中国证券登记结算有限责任公司上海分公司/深圳分公司开设证券账户。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基金托管人以基金托管人的名义在中国证券登记结算有限责任公司上海分公司/深圳分公司开立基金证券交易资金账户，用于证券清算。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（五）债券托管账户的开立和管理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2、基金管理人和基金托管人应一起负责为基金对外签订全国银行间债券市场回购主协议，正本由基金托管人保管，基金管理人保存副本。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（六）其他账户的开设和管理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（七）基金财产投资的有关实物证券、银行定期存款存单等有价凭证的保管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基金财产投资的有关实物证券由基金托管人存放于基金托管人的保管库；其中实物证券也可存入中央国债登记结算有限责任公司或银行间市场清算所股份有限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（八）与基金财产有关的重大合同的保管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对于无法取得二份以上的正本的，基金管理人应向基金托管人提供加盖授权业务章的合同传真件或复印件，未经双方协商或未在合同约定范围内，合同原件不得转移。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五、基金资产净值计算与会计核算</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（一）基金资产净值的计算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1、基金资产净值的计算、复核的时间和程序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资产净值是指基金资产总值减去负债后的价值。各类基金份额净值是指计算日该类基金资产净值除以该计算日该类基金份额总份额后的数值。各类基金份额净值的计算保留到小数点后4位，小数点后第5位四舍五入，由此产生的误差计入基金财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每个工作日对基金资产估值，但基金管理人根据法律法规或基金合同的规定暂停估值时除外。估值原则应符合《基金合同》、《证券投资基金会计核算业务指引》及其他法律、法规的规定。基金资产净值和各类基金份额净值由基金管理人负责计算，基金托管人复核。基金管理人应于每个工作日交易结束后计算当日的基金资产净值、基金份额净值并以双方认可的方式发送给基金托管人。基金托管人对净值计算结果复核后以双方认可的方式发送给基金管理人，由基金管理人按规定对基金净值予以公布。 </w:t>
      </w:r>
    </w:p>
    <w:p w:rsidR="002C1A0C" w:rsidRDefault="00864859">
      <w:pPr>
        <w:pStyle w:val="a5"/>
        <w:spacing w:before="0" w:beforeAutospacing="0" w:after="0" w:afterAutospacing="0" w:line="360" w:lineRule="auto"/>
        <w:ind w:firstLine="420"/>
        <w:rPr>
          <w:sz w:val="21"/>
          <w:szCs w:val="21"/>
        </w:rPr>
      </w:pPr>
      <w:r>
        <w:rPr>
          <w:rFonts w:hint="eastAsia"/>
          <w:sz w:val="21"/>
          <w:szCs w:val="21"/>
        </w:rPr>
        <w:t>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w:t>
      </w:r>
      <w:r>
        <w:rPr>
          <w:rFonts w:hint="eastAsia"/>
          <w:sz w:val="21"/>
          <w:szCs w:val="21"/>
        </w:rPr>
        <w:lastRenderedPageBreak/>
        <w:t xml:space="preserve">值的计算结果对外予以公布。法律法规以及监管部门有强制规定的，从其规定。如有新增事项，按国家最新规定估值。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（二）基金资产估值方法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1.估值对象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基金所拥有的股票、期货合约、国债期货合约、权证、债券和银行存款本息、应收款项、其它投资等资产及负债。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2.估值方法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本基金的估值方法为：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（1）证券交易所上市的有价证券的估值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①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 </w:t>
      </w:r>
    </w:p>
    <w:p w:rsidR="002C1A0C" w:rsidRDefault="00864859">
      <w:pPr>
        <w:pStyle w:val="a5"/>
        <w:spacing w:before="0" w:beforeAutospacing="0" w:after="0" w:afterAutospacing="0" w:line="360" w:lineRule="auto"/>
        <w:ind w:firstLine="420"/>
        <w:rPr>
          <w:sz w:val="21"/>
          <w:szCs w:val="21"/>
        </w:rPr>
      </w:pPr>
      <w:r>
        <w:rPr>
          <w:rFonts w:hint="eastAsia"/>
          <w:sz w:val="21"/>
          <w:szCs w:val="21"/>
        </w:rPr>
        <w:t>②</w:t>
      </w:r>
      <w:r>
        <w:rPr>
          <w:sz w:val="21"/>
          <w:szCs w:val="21"/>
        </w:rPr>
        <w:t xml:space="preserve"> </w:t>
      </w:r>
      <w:r>
        <w:rPr>
          <w:rFonts w:hint="eastAsia"/>
          <w:sz w:val="21"/>
          <w:szCs w:val="21"/>
        </w:rPr>
        <w:t xml:space="preserve">交易所上市交易或挂牌转让的固定收益品种（基金合同另有规定的除外），选取估值日第三方估值机构提供的相应品种对应的估值净价估值，具体估值机构由基金管理人与基金托管人另行协商约定；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③</w:t>
      </w:r>
      <w:r>
        <w:rPr>
          <w:sz w:val="21"/>
          <w:szCs w:val="21"/>
        </w:rPr>
        <w:t xml:space="preserve"> </w:t>
      </w:r>
      <w:r>
        <w:rPr>
          <w:rFonts w:hint="eastAsia"/>
          <w:sz w:val="21"/>
          <w:szCs w:val="21"/>
        </w:rPr>
        <w:t xml:space="preserve">交易所上市交易的可转换债券按估值日收盘价减去债券收盘价中所含的债券应收利息得到的净价进行估值；估值日没有交易的，且最近交易日后经济环境未发生重大变化，按最近交易日固定收益品种收盘价减去固定收益品种收盘价中所含的固定收益品种应收利息得到的净价进行估值。如最近交易日后经济环境发生了重大变化的，可参考类似投资品种的现行市价及重大变化因素，调整最近交易市价，确定公允价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交易所上市实行全价交易的固定收益品种（可转换债券除外），选取第三方估值机构提供的估值全价减去估值全价中所含的固定收益品种（税后）应收利息得到的净价进行估值；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④</w:t>
      </w:r>
      <w:r>
        <w:rPr>
          <w:sz w:val="21"/>
          <w:szCs w:val="21"/>
        </w:rPr>
        <w:t xml:space="preserve"> </w:t>
      </w:r>
      <w:r>
        <w:rPr>
          <w:rFonts w:hint="eastAsia"/>
          <w:sz w:val="21"/>
          <w:szCs w:val="21"/>
        </w:rPr>
        <w:t xml:space="preserve">交易所上市不存在活跃市场的有价证券，采用估值技术确定公允价值。交易所上市的资产支持证券，采用估值技术确定公允价值，在估值技术难以可靠计量公允价值的情况下，按成本估值。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（2）处于未上市期间的有价证券应区分如下情况处理： </w:t>
      </w:r>
    </w:p>
    <w:p w:rsidR="002C1A0C" w:rsidRDefault="00864859">
      <w:pPr>
        <w:pStyle w:val="a5"/>
        <w:spacing w:before="0" w:beforeAutospacing="0" w:after="0" w:afterAutospacing="0" w:line="360" w:lineRule="auto"/>
        <w:ind w:firstLine="420"/>
        <w:rPr>
          <w:sz w:val="21"/>
          <w:szCs w:val="21"/>
        </w:rPr>
      </w:pPr>
      <w:r>
        <w:rPr>
          <w:rFonts w:hint="eastAsia"/>
          <w:sz w:val="21"/>
          <w:szCs w:val="21"/>
        </w:rPr>
        <w:t>①</w:t>
      </w:r>
      <w:r>
        <w:rPr>
          <w:sz w:val="21"/>
          <w:szCs w:val="21"/>
        </w:rPr>
        <w:t xml:space="preserve"> </w:t>
      </w:r>
      <w:r>
        <w:rPr>
          <w:rFonts w:hint="eastAsia"/>
          <w:sz w:val="21"/>
          <w:szCs w:val="21"/>
        </w:rPr>
        <w:t xml:space="preserve">送股、转增股、配股和公开增发的新股，按估值日在证券交易所挂牌的同一股票的估值方法估值；该日无交易的，以最近一日的市价（收盘价）估值；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②</w:t>
      </w:r>
      <w:r>
        <w:rPr>
          <w:sz w:val="21"/>
          <w:szCs w:val="21"/>
        </w:rPr>
        <w:t xml:space="preserve"> </w:t>
      </w:r>
      <w:r>
        <w:rPr>
          <w:rFonts w:hint="eastAsia"/>
          <w:sz w:val="21"/>
          <w:szCs w:val="21"/>
        </w:rPr>
        <w:t xml:space="preserve">首次公开发行未上市的股票、债券和权证，采用估值技术确定公允价值，在估值技术难以可靠计量公允价值的情况下，按成本估值；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③流通受限的股票，包括非公开发行股票、首次公开发行股票时公司股东公开发售股份、通过大宗交易取得的带限售期的股票等（不包括停牌、新发行未上市、回购交易中的质押券等流通受限股票），按监管机构或行业协会有关规定确定公允价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（3）全国银行间债券市场上的固定收益品种，按照第三方估值机构提供的相应品种当日的估值净价估值。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（4）同一固定收益品种同时在两个或两个以上市场交易的，按所处的市场分别估值。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（5）本基金投资股指期货合约、国债期货合约，一般以估值当日结算价进行估值，估值当日无结算价的，且最近交易日后经济环境未发生重大变化的，采用最近交易日结算价估值。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（6）中小企业私募债券，采用估值技术确定公允价值。在估值技术难以可靠计量公允价值的情况下，按成本估值。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（7）汇率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基金外币资产价值计算中，涉及主要货币对人民币汇率的，应当以基金估值日中国人民银行或其授权机构公布的人民币汇率中间价为准；涉及到其它币种与人民币之间的汇率，参照数据服务商提供的当日各种货币兑美元折算率采用套算的方法进行折算。对港股通标的股票估值时，先根据外币行情价格和持仓量计算出外币市值，再根据汇率折算成保留两位小数的人民币市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（8）当发生大额申购或赎回情形时，基金管理人可以采用摆动定价机制，以确保基金估值的公平性。具体处理原则与操作规范遵循相关法律法规以及监管部门、自律规则的规定。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（9）如有确凿证据表明按上述方法进行估值不能客观反映其公允价值的，基金管理人可根据具体情况与基金托管人商定后，按最能反映公允价值的价格估值。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（10）相关法律法规以及监管部门有强制规定的，从其规定。如有新增事项，按国家最新规定估值。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2C1A0C" w:rsidRDefault="00864859">
      <w:pPr>
        <w:pStyle w:val="a5"/>
        <w:spacing w:before="0" w:beforeAutospacing="0" w:after="0" w:afterAutospacing="0" w:line="360" w:lineRule="auto"/>
        <w:ind w:firstLine="420"/>
        <w:rPr>
          <w:sz w:val="21"/>
          <w:szCs w:val="21"/>
        </w:rPr>
      </w:pPr>
      <w:r>
        <w:rPr>
          <w:rFonts w:hint="eastAsia"/>
          <w:sz w:val="21"/>
          <w:szCs w:val="21"/>
        </w:rPr>
        <w:t>根据有关法律法规，基金净值计算和基金会计核算的义务由基金管理人承担。本基金的基金会计责任方由基金管理人担任，因此，就与本基金有关的会计问题，如经相关各方在平</w:t>
      </w:r>
      <w:r>
        <w:rPr>
          <w:rFonts w:hint="eastAsia"/>
          <w:sz w:val="21"/>
          <w:szCs w:val="21"/>
        </w:rPr>
        <w:lastRenderedPageBreak/>
        <w:t xml:space="preserve">等基础上充分讨论后，仍无法达成一致的意见，按照基金管理人对基金净值的计算结果对外予以公布。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（三）估值差错处理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因基金估值错误给投资者造成损失的应先由基金管理人承担，基金管理人对不应由其承担的责任，有权向过错人追偿。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当基金管理人计算的基金资产净值、基金份额净值已由基金托管人复核确认后按规定公告的，由此造成的投资者或基金的损失，应根据法律法规的规定对投资者或基金支付赔偿金，就实际向投资者或基金支付的赔偿金额，由基金管理人与基金托管人按照管理费率和托管费率的比例各自承担相应的责任。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由于不可抗力原因，或由于证券、期货交易所或登记结算公司等机构发送的数据错误等原因，基金管理人和基金托管人虽然已经采取必要、适当、合理的措施进行检查，但是未能发现该错误的，由此造成的基金资产估值错误，基金管理人和基金托管人应当免除赔偿责任。但基金管理人和基金托管人应当积极采取必要的措施消除或减轻由此造成的影响。 </w:t>
      </w:r>
    </w:p>
    <w:p w:rsidR="00864859" w:rsidRDefault="00864859">
      <w:pPr>
        <w:pStyle w:val="a5"/>
        <w:spacing w:before="0" w:beforeAutospacing="0" w:after="0" w:afterAutospacing="0" w:line="360" w:lineRule="auto"/>
        <w:ind w:firstLine="420"/>
        <w:rPr>
          <w:sz w:val="21"/>
          <w:szCs w:val="21"/>
        </w:rPr>
      </w:pPr>
      <w:r>
        <w:rPr>
          <w:rFonts w:hint="eastAsia"/>
          <w:sz w:val="21"/>
          <w:szCs w:val="21"/>
        </w:rPr>
        <w:t>当基金管理人计算的基金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（四）基金账册的建立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 </w:t>
      </w:r>
    </w:p>
    <w:p w:rsidR="00864859" w:rsidRPr="00864859" w:rsidRDefault="00864859">
      <w:pPr>
        <w:pStyle w:val="a5"/>
        <w:spacing w:before="0" w:beforeAutospacing="0" w:after="0" w:afterAutospacing="0" w:line="360" w:lineRule="auto"/>
        <w:ind w:firstLine="420"/>
        <w:rPr>
          <w:sz w:val="21"/>
          <w:szCs w:val="21"/>
        </w:rPr>
      </w:pPr>
      <w:r w:rsidRPr="00864859">
        <w:rPr>
          <w:rFonts w:hint="eastAsia"/>
          <w:sz w:val="21"/>
          <w:szCs w:val="21"/>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rsidR="00864859" w:rsidRPr="00681366" w:rsidRDefault="00864859">
      <w:pPr>
        <w:pStyle w:val="a5"/>
        <w:spacing w:before="0" w:beforeAutospacing="0" w:after="0" w:afterAutospacing="0" w:line="360" w:lineRule="auto"/>
        <w:ind w:firstLine="420"/>
        <w:rPr>
          <w:sz w:val="21"/>
          <w:szCs w:val="21"/>
        </w:rPr>
      </w:pPr>
      <w:r w:rsidRPr="00864859">
        <w:rPr>
          <w:rFonts w:hint="eastAsia"/>
          <w:sz w:val="21"/>
          <w:szCs w:val="21"/>
        </w:rPr>
        <w:t>（五）基金定期报告的编制和复核</w:t>
      </w:r>
    </w:p>
    <w:p w:rsidR="002C1A0C" w:rsidRPr="00864859" w:rsidRDefault="00864859">
      <w:pPr>
        <w:pStyle w:val="a5"/>
        <w:spacing w:before="0" w:beforeAutospacing="0" w:after="0" w:afterAutospacing="0" w:line="360" w:lineRule="auto"/>
        <w:ind w:firstLine="420"/>
        <w:rPr>
          <w:sz w:val="21"/>
          <w:szCs w:val="21"/>
        </w:rPr>
      </w:pPr>
      <w:r w:rsidRPr="00681366">
        <w:rPr>
          <w:rFonts w:hint="eastAsia"/>
          <w:sz w:val="21"/>
          <w:szCs w:val="21"/>
        </w:rPr>
        <w:lastRenderedPageBreak/>
        <w:t>基金财务报表由基金管理人和基金托管人每月分别独立编制。月度报表的编制，应于每月终了后</w:t>
      </w:r>
      <w:r w:rsidRPr="003F0E2C">
        <w:rPr>
          <w:rFonts w:hint="eastAsia"/>
          <w:sz w:val="21"/>
          <w:szCs w:val="21"/>
        </w:rPr>
        <w:t>5</w:t>
      </w:r>
      <w:r w:rsidRPr="00273D85">
        <w:rPr>
          <w:rFonts w:hint="eastAsia"/>
          <w:sz w:val="21"/>
          <w:szCs w:val="21"/>
        </w:rPr>
        <w:t>个工</w:t>
      </w:r>
      <w:r w:rsidRPr="00F47B26">
        <w:rPr>
          <w:rFonts w:hint="eastAsia"/>
          <w:sz w:val="21"/>
          <w:szCs w:val="21"/>
        </w:rPr>
        <w:t>作日内完成。</w:t>
      </w:r>
      <w:r w:rsidRPr="00864859">
        <w:rPr>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基金管理人在每个季度结束之日起15个工作日内完成季度报告编制并公告；在会计年度半年终了后两个月内完成中期报告编制并公告；在会计年度结束后三个月内完成年度报告编制并公告。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于应当发布公告之日之前就相关报表达成一致，基金管理人有权按照其编制的报表对外发布公告，基金托管人有权就相关情况报证监会备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基金托管人在对财务会计报告、季度报告、中期报告或年度报告复核完毕后，需盖章确认或出具相应的复核确认书，以备有权机构对相关文件审核时提示。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六、基金份额持有人名册的保管</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rsidR="002C1A0C" w:rsidRDefault="00864859">
      <w:pPr>
        <w:pStyle w:val="a5"/>
        <w:spacing w:before="0" w:beforeAutospacing="0" w:after="0" w:afterAutospacing="0" w:line="360" w:lineRule="auto"/>
        <w:ind w:firstLine="420"/>
        <w:rPr>
          <w:sz w:val="21"/>
          <w:szCs w:val="21"/>
        </w:rPr>
      </w:pPr>
      <w:r>
        <w:rPr>
          <w:rFonts w:hint="eastAsia"/>
          <w:sz w:val="21"/>
          <w:szCs w:val="21"/>
        </w:rPr>
        <w:t>基金份额持有人名册由基金的基金登记机构根据基金管理人的指令编制和保管，基金管理人和基金托管人应按照目前相关规则分别保管基金份额持有人名册。保管方式可以采用电</w:t>
      </w:r>
      <w:r>
        <w:rPr>
          <w:rFonts w:hint="eastAsia"/>
          <w:sz w:val="21"/>
          <w:szCs w:val="21"/>
        </w:rPr>
        <w:lastRenderedPageBreak/>
        <w:t xml:space="preserve">子或文档的形式。基金份额登记机构的保存期限自基金账户销户之日起不得少于20年。法律法规或监管部门另有规定的除外。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托管人以电子版形式妥善保管基金份额持有人名册，并定期刻成光盘备份，保存期限为15年。法律法规或监管部门另有规定的除外。基金托管人不得将所保管的基金份额持有人名册用于基金托管业务以外的其他用途，并应遵守保密义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若基金管理人或基金托管人由于自身原因无法妥善保管基金份额持有人名册，应按有关法规规定各自承担相应的责任。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七、适用法律及争议解决方式</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双方当事人同意，因本协议而产生的或与本协议有关的一切争议，除经友好协商可以解决的，应提交中国国际经济贸易仲裁委员会根据该会当时有效的仲裁规则进行仲裁，仲裁的地点在北京市，仲裁裁决是终局性的并对相关各方均有约束力，仲裁费用由败诉方承担。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争议处理期间，双方当事人应恪守基金管理人和基金托管人职责，继续忠实、勤勉、尽责地履行《基金合同》和托管协议规定的义务，维护基金份额持有人的合法权益。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本协议受中国法律（为本协议之目的，在此不包括香港、澳门特别行政区和台湾地区法律）管辖。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八、基金托管协议的变更、终止与基金财产的清算</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（一）托管协议的变更与终止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1、托管协议的变更程序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本协议双方当事人经协商一致，可以对协议的内容进行变更。变更后的托管协议，其内容不得与《基金合同》的规定有任何冲突。基金托管协议的变更须报中国证监会备案。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2、基金托管协议终止的情形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发生以下情况，本托管协议终止：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（1）《基金合同》终止；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（2）基金托管人解散、依法被撤销、破产或有其他基金托管人接管基金资产；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（3）基金管理人解散、依法被撤销、破产或有其他基金管理人接管基金管理权；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（4）发生法律法规或《基金合同》规定的终止事项。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（二）基金财产的清算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2、在基金财产清算小组接管基金财产之前，基金管理人和基金托管人应按照《基金合同》和本托管协议的规定继续履行保护基金财产安全的职责。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4、基金财产清算小组职责：基金财产清算小组负责基金财产的保管、清理、估价、变现和分配。基金财产清算小组可以依法进行必要的民事活动。 </w:t>
      </w:r>
    </w:p>
    <w:p w:rsidR="002C1A0C" w:rsidRDefault="00864859">
      <w:pPr>
        <w:pStyle w:val="a5"/>
        <w:spacing w:before="0" w:beforeAutospacing="0" w:after="0" w:afterAutospacing="0" w:line="360" w:lineRule="auto"/>
        <w:ind w:firstLine="420"/>
        <w:rPr>
          <w:sz w:val="21"/>
          <w:szCs w:val="21"/>
        </w:rPr>
      </w:pPr>
      <w:r>
        <w:rPr>
          <w:rFonts w:hint="eastAsia"/>
          <w:sz w:val="21"/>
          <w:szCs w:val="21"/>
        </w:rPr>
        <w:t>5、基金财产清算程序：</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（1）《基金合同》终止情形出现时，由基金财产清算小组统一接管基金；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（2）对基金财产和债权债务进行清理和确认；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（3）对基金财产进行估值和变现；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（4）制作清算报告；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（5）聘请会计师事务所对清算报告进行外部审计，聘请律师事务所对清算报告出具法律意见书；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（6）将清算报告报中国证监会备案并公告；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（7）对基金剩余财产进行分配。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基金财产清算的期限为6个月。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6、清算费用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清算费用是指基金财产清算小组在进行基金清算过程中发生的所有合理费用，清算费用由基金财产清算小组优先从基金剩余财产中支付。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7、基金财产按下列顺序清偿：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(1)支付清算费用；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(2)交纳所欠税款；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(3)清偿基金债务；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(4)按基金份额持有人持有的基金份额比例进行分配。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基金财产未按前款(1)－(3)项规定清偿前，不分配给基金份额持有人。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（三）基金财产清算的公告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（四）基金财产清算账册及文件的保存 </w:t>
      </w:r>
    </w:p>
    <w:p w:rsidR="002C1A0C" w:rsidRDefault="00864859">
      <w:pPr>
        <w:pStyle w:val="a5"/>
        <w:spacing w:before="0" w:beforeAutospacing="0" w:after="0" w:afterAutospacing="0" w:line="360" w:lineRule="auto"/>
        <w:ind w:firstLine="420"/>
        <w:rPr>
          <w:sz w:val="21"/>
          <w:szCs w:val="21"/>
        </w:rPr>
      </w:pPr>
      <w:bookmarkStart w:id="204" w:name="chapter_level1_22_72_section_1_end"/>
      <w:bookmarkEnd w:id="204"/>
      <w:r>
        <w:rPr>
          <w:rFonts w:hint="eastAsia"/>
          <w:sz w:val="21"/>
          <w:szCs w:val="21"/>
        </w:rPr>
        <w:t xml:space="preserve">基金财产清算账册及有关文件由基金托管人保存15年以上。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205" w:name="_Toc27511782"/>
      <w:bookmarkStart w:id="206" w:name="chapter_level1_23_75"/>
      <w:r>
        <w:rPr>
          <w:rFonts w:ascii="宋体" w:eastAsia="宋体" w:hAnsi="宋体" w:hint="eastAsia"/>
          <w:sz w:val="30"/>
        </w:rPr>
        <w:lastRenderedPageBreak/>
        <w:t>第二十部分  对基金份额持有人的服务</w:t>
      </w:r>
      <w:bookmarkEnd w:id="205"/>
      <w:bookmarkEnd w:id="206"/>
    </w:p>
    <w:p w:rsidR="002C1A0C" w:rsidRDefault="00864859">
      <w:pPr>
        <w:pStyle w:val="a5"/>
        <w:spacing w:before="0" w:beforeAutospacing="0" w:after="0" w:afterAutospacing="0" w:line="360" w:lineRule="auto"/>
        <w:ind w:firstLine="420"/>
        <w:rPr>
          <w:sz w:val="21"/>
          <w:szCs w:val="21"/>
        </w:rPr>
      </w:pPr>
      <w:bookmarkStart w:id="207" w:name="chapter_level1_23_75_section_1"/>
      <w:bookmarkEnd w:id="207"/>
      <w:r>
        <w:rPr>
          <w:rFonts w:hint="eastAsia"/>
          <w:sz w:val="21"/>
          <w:szCs w:val="21"/>
        </w:rPr>
        <w:t>对本基金份额持有人的服务主要由基金管理人、基金销售机构提供。基金管理人承诺为基金份额持有人提供一系列的服务，根据基金份额持有人的需要和市场的变化，有权增加或变更服务项目，主要服务内容如下：</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一、持有人交易资料的寄送服务</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1、交易确认单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2、电子对账单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每月结束后，基金管理人向所有订阅电子邮件对账单的投资者发送电子邮件对账单。 </w:t>
      </w:r>
    </w:p>
    <w:p w:rsidR="002C1A0C" w:rsidRDefault="00864859">
      <w:pPr>
        <w:pStyle w:val="a5"/>
        <w:spacing w:before="0" w:beforeAutospacing="0" w:after="0" w:afterAutospacing="0" w:line="360" w:lineRule="auto"/>
        <w:ind w:firstLine="420"/>
        <w:rPr>
          <w:sz w:val="21"/>
          <w:szCs w:val="21"/>
        </w:rPr>
      </w:pPr>
      <w:r>
        <w:rPr>
          <w:rFonts w:hint="eastAsia"/>
          <w:sz w:val="21"/>
          <w:szCs w:val="21"/>
        </w:rPr>
        <w:t>投资者可以登录基金管理人网站（http://www.bosera.com）自助订阅；或发送“订阅电子对账单”邮件到客服邮箱</w:t>
      </w:r>
      <w:hyperlink r:id="rId8" w:history="1">
        <w:r>
          <w:rPr>
            <w:rStyle w:val="a8"/>
            <w:rFonts w:hint="eastAsia"/>
            <w:sz w:val="21"/>
            <w:szCs w:val="21"/>
          </w:rPr>
          <w:t>service@bosera.com</w:t>
        </w:r>
      </w:hyperlink>
      <w:r>
        <w:rPr>
          <w:rFonts w:hint="eastAsia"/>
          <w:sz w:val="21"/>
          <w:szCs w:val="21"/>
        </w:rPr>
        <w:t xml:space="preserve">；也可直接拨打博时一线通95105568（免长途话费）订阅。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由于投资者提供的电子邮箱不详、错误、未及时变更或通讯故障、延误等原因有可能造成对账单无法按时或准确送达。因上述原因无法正常收取对账单的投资者，敬请及时通过本基金管理人网站，或拨打博时一线通客服电话查询、核对、变更您的预留联系方式。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二、网上理财服务</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通过基金管理人网站，投资者可获得如下服务：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1、自助开户交易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2、查询服务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投资者可以通过基金管理人网站查询所持有基金的基金份额、交易记录等信息，同时可以修改基金账户信息等基本资料。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3、信息资讯服务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投资者可以利用基金管理人网站获取基金和基金管理人各类信息，包括基金法律文件、基金管理人最新动态、热点问题等。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4、在线客服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投资者可以通过基金管理人网站首页“在线客服”功能进行在线咨询。也可以在“您问我答”栏目中，直接提出有关本基金的问题和建议。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三、短信服务</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基金管理人向订制短信服务的基金份额持有人提供相应短信服务。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四、电子邮件服务</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208" w:name="chapter_level1_23_75_section_1_end"/>
      <w:bookmarkEnd w:id="208"/>
      <w:r>
        <w:rPr>
          <w:rFonts w:hint="eastAsia"/>
          <w:sz w:val="21"/>
          <w:szCs w:val="21"/>
        </w:rPr>
        <w:t xml:space="preserve">基金管理人为投资者提供电子邮件方式的业务咨询、投诉受理、基金份额净值等服务。 </w:t>
      </w:r>
    </w:p>
    <w:p w:rsidR="002C1A0C" w:rsidRDefault="00864859">
      <w:pPr>
        <w:pStyle w:val="a5"/>
        <w:spacing w:before="0" w:beforeAutospacing="0" w:after="0" w:afterAutospacing="0" w:line="360" w:lineRule="auto"/>
        <w:ind w:firstLine="420"/>
        <w:rPr>
          <w:sz w:val="21"/>
          <w:szCs w:val="21"/>
        </w:rPr>
      </w:pPr>
      <w:bookmarkStart w:id="209" w:name="chapter_level1_23_75_section_2"/>
      <w:bookmarkEnd w:id="209"/>
      <w:r>
        <w:rPr>
          <w:rStyle w:val="a7"/>
          <w:rFonts w:hint="eastAsia"/>
          <w:sz w:val="21"/>
          <w:szCs w:val="21"/>
        </w:rPr>
        <w:t>五、手机理财服务</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投资者通过手机博时移动版直销网上交易系统（http://m.bosera.com）和博时App版直销网上交易系统，可以使用基金理财所需的基金交易、理财查询、账户管理、信息资讯等功能和服务。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六、信息订阅服务</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投资者可以通过基金管理人网站、客服中心提交信息订制的申请，基金管理人将以电子邮件、手机短信的形式定期为投资者发送所订制的信息。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七、电话理财服务</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投资者拨打博时一线通：95105568（免长途话费）可享有投资理财交易的一站式综合服务：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2、电话交易服务：本公司直销投资者可通过博时一线通电话交易平台在线办理基金的赎回、变更分红方式、撤单等直销交易业务。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3、人工电话服务：投资者可以获得业务咨询、信息查询、资料修改、投诉受理、信息订制、账户诊断等服务。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4、电话留言服务：非人工服务时间或线路繁忙时，投资者可进行电话留言。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八、基金管理人联系方式</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公司网址：www.bosera.com </w:t>
      </w:r>
    </w:p>
    <w:p w:rsidR="002C1A0C" w:rsidRDefault="00864859">
      <w:pPr>
        <w:pStyle w:val="a5"/>
        <w:spacing w:before="0" w:beforeAutospacing="0" w:after="0" w:afterAutospacing="0" w:line="360" w:lineRule="auto"/>
        <w:ind w:firstLine="420"/>
        <w:rPr>
          <w:sz w:val="21"/>
          <w:szCs w:val="21"/>
        </w:rPr>
      </w:pPr>
      <w:r>
        <w:rPr>
          <w:rFonts w:hint="eastAsia"/>
          <w:sz w:val="21"/>
          <w:szCs w:val="21"/>
        </w:rPr>
        <w:t>电子信箱：</w:t>
      </w:r>
      <w:hyperlink r:id="rId9" w:history="1">
        <w:r>
          <w:rPr>
            <w:rStyle w:val="a8"/>
            <w:rFonts w:hint="eastAsia"/>
            <w:sz w:val="21"/>
            <w:szCs w:val="21"/>
          </w:rPr>
          <w:t>service@bosera.com</w:t>
        </w:r>
      </w:hyperlink>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 xml:space="preserve">博时一线通客服电话：95105568（免长途话费） </w:t>
      </w:r>
    </w:p>
    <w:p w:rsidR="002C1A0C" w:rsidRDefault="00864859">
      <w:pPr>
        <w:pStyle w:val="a5"/>
        <w:spacing w:before="0" w:beforeAutospacing="0" w:after="0" w:afterAutospacing="0" w:line="360" w:lineRule="auto"/>
        <w:ind w:firstLine="420"/>
        <w:rPr>
          <w:sz w:val="21"/>
          <w:szCs w:val="21"/>
        </w:rPr>
      </w:pPr>
      <w:r>
        <w:rPr>
          <w:rStyle w:val="a7"/>
          <w:rFonts w:hint="eastAsia"/>
          <w:sz w:val="21"/>
          <w:szCs w:val="21"/>
        </w:rPr>
        <w:t>九、如本招募说明书存在任何您/贵机构无法理解的内容，请通过上述方式联系基金管</w:t>
      </w:r>
      <w:bookmarkStart w:id="210" w:name="chapter_level1_23_75_section_2_end"/>
      <w:bookmarkEnd w:id="210"/>
      <w:r>
        <w:rPr>
          <w:rStyle w:val="a7"/>
          <w:rFonts w:hint="eastAsia"/>
          <w:sz w:val="21"/>
          <w:szCs w:val="21"/>
        </w:rPr>
        <w:t>理人。请确保投资前，您/贵机构已经全面理解了本招募说明书。</w:t>
      </w:r>
      <w:r>
        <w:rPr>
          <w:sz w:val="21"/>
          <w:szCs w:val="21"/>
        </w:rPr>
        <w:t xml:space="preserve"> </w:t>
      </w:r>
      <w:r>
        <w:rPr>
          <w:rFonts w:hint="eastAsia"/>
          <w:sz w:val="21"/>
          <w:szCs w:val="21"/>
        </w:rPr>
        <w:t xml:space="preserve">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211" w:name="chapter_level1_24_3499"/>
      <w:bookmarkStart w:id="212" w:name="_Toc27511783"/>
      <w:r>
        <w:rPr>
          <w:rFonts w:ascii="宋体" w:eastAsia="宋体" w:hAnsi="宋体" w:hint="eastAsia"/>
          <w:sz w:val="30"/>
        </w:rPr>
        <w:lastRenderedPageBreak/>
        <w:t>第二十一部分 其他应披露的事项</w:t>
      </w:r>
      <w:bookmarkEnd w:id="211"/>
      <w:bookmarkEnd w:id="212"/>
    </w:p>
    <w:p w:rsidR="002C1A0C" w:rsidRDefault="00864859">
      <w:pPr>
        <w:pStyle w:val="a5"/>
        <w:spacing w:before="0" w:beforeAutospacing="0" w:after="0" w:afterAutospacing="0" w:line="360" w:lineRule="auto"/>
        <w:ind w:firstLine="420"/>
        <w:rPr>
          <w:sz w:val="21"/>
          <w:szCs w:val="21"/>
        </w:rPr>
      </w:pPr>
      <w:bookmarkStart w:id="213" w:name="chapter_level1_24_3499_section_1"/>
      <w:bookmarkStart w:id="214" w:name="field_0_bsrevealinfo_1_start"/>
      <w:bookmarkEnd w:id="213"/>
      <w:bookmarkEnd w:id="214"/>
      <w:r>
        <w:rPr>
          <w:rFonts w:hint="eastAsia"/>
          <w:sz w:val="21"/>
          <w:szCs w:val="21"/>
        </w:rPr>
        <w:t>（一）、</w:t>
      </w:r>
      <w:r>
        <w:rPr>
          <w:sz w:val="21"/>
          <w:szCs w:val="21"/>
        </w:rPr>
        <w:t xml:space="preserve"> </w:t>
      </w:r>
      <w:r>
        <w:rPr>
          <w:rFonts w:hint="eastAsia"/>
          <w:sz w:val="21"/>
          <w:szCs w:val="21"/>
        </w:rPr>
        <w:t xml:space="preserve">2019年10月23日，我公司公告了《博时荣享回报灵活配置定期开放混合型证券投资基金2019年第3季度报告》；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（二）、</w:t>
      </w:r>
      <w:r>
        <w:rPr>
          <w:sz w:val="21"/>
          <w:szCs w:val="21"/>
        </w:rPr>
        <w:t xml:space="preserve"> </w:t>
      </w:r>
      <w:r>
        <w:rPr>
          <w:rFonts w:hint="eastAsia"/>
          <w:sz w:val="21"/>
          <w:szCs w:val="21"/>
        </w:rPr>
        <w:t xml:space="preserve">2019年08月30日，我公司公告了《关于博时旗下部分开放式基金增加华瑞保险销售有限公司为代销机构并参加其费率优惠活动的公告》；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（三）、</w:t>
      </w:r>
      <w:r>
        <w:rPr>
          <w:sz w:val="21"/>
          <w:szCs w:val="21"/>
        </w:rPr>
        <w:t xml:space="preserve"> </w:t>
      </w:r>
      <w:r>
        <w:rPr>
          <w:rFonts w:hint="eastAsia"/>
          <w:sz w:val="21"/>
          <w:szCs w:val="21"/>
        </w:rPr>
        <w:t xml:space="preserve">2019年08月29日，我公司公告了《博时荣享回报灵活配置定期开放混合型证券投资基金分红公告》；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（四）、</w:t>
      </w:r>
      <w:r>
        <w:rPr>
          <w:sz w:val="21"/>
          <w:szCs w:val="21"/>
        </w:rPr>
        <w:t xml:space="preserve"> </w:t>
      </w:r>
      <w:r>
        <w:rPr>
          <w:rFonts w:hint="eastAsia"/>
          <w:sz w:val="21"/>
          <w:szCs w:val="21"/>
        </w:rPr>
        <w:t xml:space="preserve">2019年08月27日，我公司公告了《博时荣享回报灵活配置定期开放混合型证券投资基金2019年半年度报告（摘要）》； </w:t>
      </w:r>
    </w:p>
    <w:p w:rsidR="002C1A0C" w:rsidRDefault="00864859">
      <w:pPr>
        <w:pStyle w:val="a5"/>
        <w:spacing w:before="0" w:beforeAutospacing="0" w:after="0" w:afterAutospacing="0" w:line="360" w:lineRule="auto"/>
        <w:ind w:firstLine="420"/>
        <w:rPr>
          <w:sz w:val="21"/>
          <w:szCs w:val="21"/>
        </w:rPr>
      </w:pPr>
      <w:r>
        <w:rPr>
          <w:rFonts w:hint="eastAsia"/>
          <w:sz w:val="21"/>
          <w:szCs w:val="21"/>
        </w:rPr>
        <w:t>（五）、</w:t>
      </w:r>
      <w:r>
        <w:rPr>
          <w:sz w:val="21"/>
          <w:szCs w:val="21"/>
        </w:rPr>
        <w:t xml:space="preserve"> </w:t>
      </w:r>
      <w:r>
        <w:rPr>
          <w:rFonts w:hint="eastAsia"/>
          <w:sz w:val="21"/>
          <w:szCs w:val="21"/>
        </w:rPr>
        <w:t xml:space="preserve">2019年08月22日，我公司公告了《关于博时旗下部分开放式基金增加江苏苏州农村商业银行股份有限公司为代销机构并参加其费率优惠活动的公告》；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（六）、</w:t>
      </w:r>
      <w:r>
        <w:rPr>
          <w:sz w:val="21"/>
          <w:szCs w:val="21"/>
        </w:rPr>
        <w:t xml:space="preserve"> </w:t>
      </w:r>
      <w:r>
        <w:rPr>
          <w:rFonts w:hint="eastAsia"/>
          <w:sz w:val="21"/>
          <w:szCs w:val="21"/>
        </w:rPr>
        <w:t xml:space="preserve">2019年08月16日，我公司公告了《关于博时旗下部分开放式基金增加西藏东方财富证券股份有限公司为代销机构并参加其费率优惠活动的公告》；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（七）、</w:t>
      </w:r>
      <w:r>
        <w:rPr>
          <w:sz w:val="21"/>
          <w:szCs w:val="21"/>
        </w:rPr>
        <w:t xml:space="preserve"> </w:t>
      </w:r>
      <w:r>
        <w:rPr>
          <w:rFonts w:hint="eastAsia"/>
          <w:sz w:val="21"/>
          <w:szCs w:val="21"/>
        </w:rPr>
        <w:t xml:space="preserve">2019年08月12日，我公司公告了《20190812关于博时旗下部分开放式基金增加玄元保险代理有限公司为代销机构并参加其费率优惠活动的公告》；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（八）、</w:t>
      </w:r>
      <w:r>
        <w:rPr>
          <w:sz w:val="21"/>
          <w:szCs w:val="21"/>
        </w:rPr>
        <w:t xml:space="preserve"> </w:t>
      </w:r>
      <w:r>
        <w:rPr>
          <w:rFonts w:hint="eastAsia"/>
          <w:sz w:val="21"/>
          <w:szCs w:val="21"/>
        </w:rPr>
        <w:t xml:space="preserve">2019年07月18日，我公司公告了《博时荣享回报灵活配置定期开放混合型证券投资基金2019年第2季度报告》、《关于博时旗下部分开放式基金增加中国人寿保险股份有限公司为代销机构并参加其费率优惠活动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（九）、</w:t>
      </w:r>
      <w:r>
        <w:rPr>
          <w:sz w:val="21"/>
          <w:szCs w:val="21"/>
        </w:rPr>
        <w:t xml:space="preserve"> </w:t>
      </w:r>
      <w:r>
        <w:rPr>
          <w:rFonts w:hint="eastAsia"/>
          <w:sz w:val="21"/>
          <w:szCs w:val="21"/>
        </w:rPr>
        <w:t xml:space="preserve">2019年07月12日，我公司公告了《关于博时基金管理有限公司旗下部分开放式基金增加上海长量基金销售有限公司为代销机构并参加其费率优惠活动的公告》；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（十）、</w:t>
      </w:r>
      <w:r>
        <w:rPr>
          <w:sz w:val="21"/>
          <w:szCs w:val="21"/>
        </w:rPr>
        <w:t xml:space="preserve"> </w:t>
      </w:r>
      <w:r>
        <w:rPr>
          <w:rFonts w:hint="eastAsia"/>
          <w:sz w:val="21"/>
          <w:szCs w:val="21"/>
        </w:rPr>
        <w:t xml:space="preserve">2019年05月22日，我公司公告了《关于博时旗下部分开放式基金增加北京汇成基金销售有限公司为代销机构并参加其费率优惠活动的公告》；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（十一）、</w:t>
      </w:r>
      <w:r>
        <w:rPr>
          <w:sz w:val="21"/>
          <w:szCs w:val="21"/>
        </w:rPr>
        <w:t xml:space="preserve"> </w:t>
      </w:r>
      <w:r>
        <w:rPr>
          <w:rFonts w:hint="eastAsia"/>
          <w:sz w:val="21"/>
          <w:szCs w:val="21"/>
        </w:rPr>
        <w:t xml:space="preserve">2019年04月22日，我公司公告了《博时荣享回报灵活配置定期开放混合型证券投资基金2019年第1季度报告》；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（十二）、</w:t>
      </w:r>
      <w:r>
        <w:rPr>
          <w:sz w:val="21"/>
          <w:szCs w:val="21"/>
        </w:rPr>
        <w:t xml:space="preserve"> </w:t>
      </w:r>
      <w:r>
        <w:rPr>
          <w:rFonts w:hint="eastAsia"/>
          <w:sz w:val="21"/>
          <w:szCs w:val="21"/>
        </w:rPr>
        <w:t xml:space="preserve">2019年04月09日，我公司公告了《博时荣享回报灵活配置定期开放混合型证券投资基金更新招募说明书2019年第1号（摘要）》； </w:t>
      </w:r>
    </w:p>
    <w:p w:rsidR="002C1A0C" w:rsidRDefault="00864859">
      <w:pPr>
        <w:pStyle w:val="a5"/>
        <w:spacing w:before="0" w:beforeAutospacing="0" w:after="0" w:afterAutospacing="0" w:line="360" w:lineRule="auto"/>
        <w:ind w:firstLine="420"/>
        <w:rPr>
          <w:sz w:val="21"/>
          <w:szCs w:val="21"/>
        </w:rPr>
      </w:pPr>
      <w:r>
        <w:rPr>
          <w:rFonts w:hint="eastAsia"/>
          <w:sz w:val="21"/>
          <w:szCs w:val="21"/>
        </w:rPr>
        <w:t>（十三）、</w:t>
      </w:r>
      <w:r>
        <w:rPr>
          <w:sz w:val="21"/>
          <w:szCs w:val="21"/>
        </w:rPr>
        <w:t xml:space="preserve"> </w:t>
      </w:r>
      <w:r>
        <w:rPr>
          <w:rFonts w:hint="eastAsia"/>
          <w:sz w:val="21"/>
          <w:szCs w:val="21"/>
        </w:rPr>
        <w:t xml:space="preserve">2019年03月29日，我公司公告了《博时荣享回报灵活配置定期开放混合型证券投资基金2018年年度报告（摘要）》； </w:t>
      </w:r>
    </w:p>
    <w:p w:rsidR="002C1A0C" w:rsidRDefault="00864859">
      <w:pPr>
        <w:pStyle w:val="a5"/>
        <w:spacing w:before="0" w:beforeAutospacing="0" w:after="0" w:afterAutospacing="0" w:line="360" w:lineRule="auto"/>
        <w:ind w:firstLine="420"/>
        <w:rPr>
          <w:sz w:val="21"/>
          <w:szCs w:val="21"/>
        </w:rPr>
      </w:pPr>
      <w:r>
        <w:rPr>
          <w:rFonts w:hint="eastAsia"/>
          <w:sz w:val="21"/>
          <w:szCs w:val="21"/>
        </w:rPr>
        <w:lastRenderedPageBreak/>
        <w:t>（十四）、</w:t>
      </w:r>
      <w:r>
        <w:rPr>
          <w:sz w:val="21"/>
          <w:szCs w:val="21"/>
        </w:rPr>
        <w:t xml:space="preserve"> </w:t>
      </w:r>
      <w:r>
        <w:rPr>
          <w:rFonts w:hint="eastAsia"/>
          <w:sz w:val="21"/>
          <w:szCs w:val="21"/>
        </w:rPr>
        <w:t xml:space="preserve">2019年03月25日，我公司公告了《关于博时旗下部分开放式基金增加江苏汇林保大基金销售有限公司为代销机构并参加其费率优惠活动的公告》； </w:t>
      </w:r>
    </w:p>
    <w:p w:rsidR="002C1A0C" w:rsidRDefault="00864859">
      <w:pPr>
        <w:pStyle w:val="a5"/>
        <w:spacing w:before="0" w:beforeAutospacing="0" w:after="0" w:afterAutospacing="0" w:line="360" w:lineRule="auto"/>
        <w:ind w:firstLine="420"/>
        <w:rPr>
          <w:sz w:val="21"/>
          <w:szCs w:val="21"/>
        </w:rPr>
      </w:pPr>
      <w:r>
        <w:rPr>
          <w:rFonts w:hint="eastAsia"/>
          <w:sz w:val="21"/>
          <w:szCs w:val="21"/>
        </w:rPr>
        <w:t>（十五）、</w:t>
      </w:r>
      <w:r>
        <w:rPr>
          <w:sz w:val="21"/>
          <w:szCs w:val="21"/>
        </w:rPr>
        <w:t xml:space="preserve"> </w:t>
      </w:r>
      <w:r>
        <w:rPr>
          <w:rFonts w:hint="eastAsia"/>
          <w:sz w:val="21"/>
          <w:szCs w:val="21"/>
        </w:rPr>
        <w:t>2019年02月25日，我公司公告了《关于博时旗下部分开放式基金增加</w:t>
      </w:r>
      <w:bookmarkStart w:id="215" w:name="chapter_level1_24_3499_section_1_end"/>
      <w:bookmarkEnd w:id="215"/>
      <w:r>
        <w:rPr>
          <w:rFonts w:hint="eastAsia"/>
          <w:sz w:val="21"/>
          <w:szCs w:val="21"/>
        </w:rPr>
        <w:t>四川天府银行股份有限公司为代销机构的公告》。</w:t>
      </w:r>
      <w:bookmarkStart w:id="216" w:name="field_0_bsrevealinfo_1_end"/>
      <w:bookmarkEnd w:id="216"/>
      <w:r>
        <w:rPr>
          <w:sz w:val="21"/>
          <w:szCs w:val="21"/>
        </w:rPr>
        <w:t xml:space="preserve"> </w:t>
      </w:r>
      <w:r>
        <w:rPr>
          <w:rFonts w:hint="eastAsia"/>
          <w:sz w:val="21"/>
          <w:szCs w:val="21"/>
        </w:rPr>
        <w:t xml:space="preserve">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217" w:name="_Toc27511784"/>
      <w:bookmarkStart w:id="218" w:name="chapter_level1_25_77"/>
      <w:r>
        <w:rPr>
          <w:rFonts w:ascii="宋体" w:eastAsia="宋体" w:hAnsi="宋体" w:hint="eastAsia"/>
          <w:sz w:val="30"/>
        </w:rPr>
        <w:lastRenderedPageBreak/>
        <w:t>第二十二部分  招募说明书存放及查阅方式</w:t>
      </w:r>
      <w:bookmarkEnd w:id="217"/>
      <w:bookmarkEnd w:id="218"/>
    </w:p>
    <w:p w:rsidR="002C1A0C" w:rsidRDefault="00243D5C">
      <w:pPr>
        <w:pStyle w:val="a5"/>
        <w:spacing w:before="0" w:beforeAutospacing="0" w:after="0" w:afterAutospacing="0" w:line="360" w:lineRule="auto"/>
        <w:ind w:firstLine="420"/>
        <w:rPr>
          <w:sz w:val="21"/>
          <w:szCs w:val="21"/>
        </w:rPr>
      </w:pPr>
      <w:bookmarkStart w:id="219" w:name="chapter_level1_25_77_section_1"/>
      <w:bookmarkEnd w:id="219"/>
      <w:r w:rsidRPr="00243D5C">
        <w:rPr>
          <w:rFonts w:hint="eastAsia"/>
          <w:sz w:val="21"/>
          <w:szCs w:val="21"/>
        </w:rPr>
        <w:t>依法必须披露的信息发布后，基金管理人、基金托管人应当按照相关法律法规规定将信息置备于公司住所， 供社会公众查阅、复制</w:t>
      </w:r>
      <w:r w:rsidR="00864859">
        <w:rPr>
          <w:rFonts w:hint="eastAsia"/>
          <w:sz w:val="21"/>
          <w:szCs w:val="21"/>
        </w:rPr>
        <w:t>；投资者在支付工本费后，可在合理时间内取得上述文件复制件或复印件。对投资者按此种方式所获得的文件及其复印件，基金管理人保证文本的内容与所公告的内容完全一致。</w:t>
      </w:r>
      <w:r w:rsidR="00864859">
        <w:rPr>
          <w:sz w:val="21"/>
          <w:szCs w:val="21"/>
        </w:rPr>
        <w:t xml:space="preserve"> </w:t>
      </w:r>
      <w:r w:rsidR="00864859">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bookmarkStart w:id="220" w:name="chapter_level1_25_77_section_1_end"/>
      <w:bookmarkEnd w:id="220"/>
      <w:r>
        <w:rPr>
          <w:rFonts w:hint="eastAsia"/>
          <w:sz w:val="21"/>
          <w:szCs w:val="21"/>
        </w:rPr>
        <w:t xml:space="preserve">投资者还可以直接登录基金管理人的网站（www.bosera.com）查阅和下载招募说明书。 </w:t>
      </w:r>
    </w:p>
    <w:p w:rsidR="002C1A0C" w:rsidRDefault="00864859">
      <w:pPr>
        <w:widowControl/>
        <w:jc w:val="left"/>
        <w:rPr>
          <w:rFonts w:ascii="宋体" w:eastAsia="宋体" w:hAnsi="宋体"/>
        </w:rPr>
      </w:pPr>
      <w:r>
        <w:rPr>
          <w:rFonts w:ascii="宋体" w:eastAsia="宋体" w:hAnsi="宋体"/>
        </w:rPr>
        <w:br w:type="page"/>
      </w:r>
    </w:p>
    <w:p w:rsidR="002C1A0C" w:rsidRDefault="00864859">
      <w:pPr>
        <w:pStyle w:val="2"/>
        <w:jc w:val="center"/>
        <w:rPr>
          <w:rFonts w:ascii="宋体" w:eastAsia="宋体" w:hAnsi="宋体"/>
          <w:sz w:val="30"/>
        </w:rPr>
      </w:pPr>
      <w:bookmarkStart w:id="221" w:name="_Toc27511785"/>
      <w:bookmarkStart w:id="222" w:name="chapter_level1_26_332"/>
      <w:r>
        <w:rPr>
          <w:rFonts w:ascii="宋体" w:eastAsia="宋体" w:hAnsi="宋体" w:hint="eastAsia"/>
          <w:sz w:val="30"/>
        </w:rPr>
        <w:lastRenderedPageBreak/>
        <w:t>第二十三部分  备查文件</w:t>
      </w:r>
      <w:bookmarkEnd w:id="221"/>
      <w:bookmarkEnd w:id="222"/>
    </w:p>
    <w:p w:rsidR="002C1A0C" w:rsidRDefault="00864859">
      <w:pPr>
        <w:pStyle w:val="a5"/>
        <w:spacing w:before="0" w:beforeAutospacing="0" w:after="0" w:afterAutospacing="0" w:line="360" w:lineRule="auto"/>
        <w:ind w:firstLine="420"/>
        <w:rPr>
          <w:sz w:val="21"/>
          <w:szCs w:val="21"/>
        </w:rPr>
      </w:pPr>
      <w:bookmarkStart w:id="223" w:name="chapter_level1_26_332_section_1"/>
      <w:bookmarkEnd w:id="223"/>
      <w:r>
        <w:rPr>
          <w:rFonts w:hint="eastAsia"/>
          <w:sz w:val="21"/>
          <w:szCs w:val="21"/>
        </w:rPr>
        <w:t>以下备查文件存放在基金管理人的办公场所，在办公时间可供免费查阅。</w:t>
      </w:r>
      <w:r>
        <w:rPr>
          <w:sz w:val="21"/>
          <w:szCs w:val="21"/>
        </w:rPr>
        <w:t xml:space="preserve"> </w:t>
      </w:r>
      <w:r>
        <w:rPr>
          <w:rFonts w:hint="eastAsia"/>
          <w:sz w:val="21"/>
          <w:szCs w:val="21"/>
        </w:rPr>
        <w:t xml:space="preserve"> </w:t>
      </w:r>
    </w:p>
    <w:p w:rsidR="002C1A0C" w:rsidRDefault="00864859">
      <w:pPr>
        <w:pStyle w:val="a5"/>
        <w:spacing w:before="0" w:beforeAutospacing="0" w:after="0" w:afterAutospacing="0" w:line="360" w:lineRule="auto"/>
        <w:ind w:firstLine="420"/>
        <w:rPr>
          <w:sz w:val="21"/>
          <w:szCs w:val="21"/>
        </w:rPr>
      </w:pPr>
      <w:r>
        <w:rPr>
          <w:rFonts w:hint="eastAsia"/>
          <w:sz w:val="21"/>
          <w:szCs w:val="21"/>
        </w:rPr>
        <w:t>（一）中国证监会准予</w:t>
      </w:r>
      <w:bookmarkStart w:id="224" w:name="field_49_productfullname_10"/>
      <w:r>
        <w:rPr>
          <w:rFonts w:hint="eastAsia"/>
          <w:sz w:val="21"/>
          <w:szCs w:val="21"/>
        </w:rPr>
        <w:t>博时荣享回报灵活配置定期开放混合型证券投资基金</w:t>
      </w:r>
      <w:bookmarkEnd w:id="224"/>
      <w:r>
        <w:rPr>
          <w:rFonts w:hint="eastAsia"/>
          <w:sz w:val="21"/>
          <w:szCs w:val="21"/>
        </w:rPr>
        <w:t xml:space="preserve">注册的文件 </w:t>
      </w:r>
    </w:p>
    <w:p w:rsidR="002C1A0C" w:rsidRDefault="00864859">
      <w:pPr>
        <w:pStyle w:val="a5"/>
        <w:spacing w:before="0" w:beforeAutospacing="0" w:after="0" w:afterAutospacing="0" w:line="360" w:lineRule="auto"/>
        <w:ind w:firstLine="420"/>
        <w:rPr>
          <w:sz w:val="21"/>
          <w:szCs w:val="21"/>
        </w:rPr>
      </w:pPr>
      <w:r>
        <w:rPr>
          <w:rFonts w:hint="eastAsia"/>
          <w:sz w:val="21"/>
          <w:szCs w:val="21"/>
        </w:rPr>
        <w:t>（二）《</w:t>
      </w:r>
      <w:bookmarkStart w:id="225" w:name="field_49_productfullname_11"/>
      <w:r>
        <w:rPr>
          <w:rFonts w:hint="eastAsia"/>
          <w:sz w:val="21"/>
          <w:szCs w:val="21"/>
        </w:rPr>
        <w:t>博时荣享回报灵活配置定期开放混合型证券投资基金</w:t>
      </w:r>
      <w:bookmarkEnd w:id="225"/>
      <w:r>
        <w:rPr>
          <w:rFonts w:hint="eastAsia"/>
          <w:sz w:val="21"/>
          <w:szCs w:val="21"/>
        </w:rPr>
        <w:t xml:space="preserve">基金合同》 </w:t>
      </w:r>
    </w:p>
    <w:p w:rsidR="002C1A0C" w:rsidRDefault="00864859">
      <w:pPr>
        <w:pStyle w:val="a5"/>
        <w:spacing w:before="0" w:beforeAutospacing="0" w:after="0" w:afterAutospacing="0" w:line="360" w:lineRule="auto"/>
        <w:ind w:firstLine="420"/>
        <w:rPr>
          <w:sz w:val="21"/>
          <w:szCs w:val="21"/>
        </w:rPr>
      </w:pPr>
      <w:r>
        <w:rPr>
          <w:rFonts w:hint="eastAsia"/>
          <w:sz w:val="21"/>
          <w:szCs w:val="21"/>
        </w:rPr>
        <w:t>（三）《</w:t>
      </w:r>
      <w:bookmarkStart w:id="226" w:name="field_49_productfullname_12"/>
      <w:r>
        <w:rPr>
          <w:rFonts w:hint="eastAsia"/>
          <w:sz w:val="21"/>
          <w:szCs w:val="21"/>
        </w:rPr>
        <w:t>博时荣享回报灵活配置定期开放混合型证券投资基金</w:t>
      </w:r>
      <w:bookmarkEnd w:id="226"/>
      <w:r>
        <w:rPr>
          <w:rFonts w:hint="eastAsia"/>
          <w:sz w:val="21"/>
          <w:szCs w:val="21"/>
        </w:rPr>
        <w:t xml:space="preserve">托管协议》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（四）基金管理人业务资格批件、营业执照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（五）基金托管人业务资格批件、营业执照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（六）法律意见书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（七）中国证监会要求的其他文件 </w:t>
      </w:r>
    </w:p>
    <w:p w:rsidR="002C1A0C" w:rsidRDefault="00864859">
      <w:pPr>
        <w:pStyle w:val="a5"/>
        <w:spacing w:before="0" w:beforeAutospacing="0" w:after="0" w:afterAutospacing="0" w:line="360" w:lineRule="auto"/>
        <w:ind w:firstLine="420"/>
        <w:rPr>
          <w:sz w:val="21"/>
          <w:szCs w:val="21"/>
        </w:rPr>
      </w:pPr>
      <w:r>
        <w:rPr>
          <w:rFonts w:hint="eastAsia"/>
          <w:sz w:val="21"/>
          <w:szCs w:val="21"/>
        </w:rPr>
        <w:t xml:space="preserve">查阅方式：投资者可在营业时间免费查阅，也可按工本费购买复印件。 </w:t>
      </w:r>
    </w:p>
    <w:p w:rsidR="002C1A0C" w:rsidRDefault="002C1A0C">
      <w:pPr>
        <w:pStyle w:val="a5"/>
        <w:spacing w:before="0" w:beforeAutospacing="0" w:after="0" w:afterAutospacing="0" w:line="360" w:lineRule="auto"/>
        <w:ind w:firstLine="420"/>
        <w:rPr>
          <w:sz w:val="21"/>
          <w:szCs w:val="21"/>
        </w:rPr>
      </w:pPr>
    </w:p>
    <w:p w:rsidR="002C1A0C" w:rsidRDefault="002C1A0C">
      <w:pPr>
        <w:pStyle w:val="a5"/>
        <w:spacing w:before="0" w:beforeAutospacing="0" w:after="0" w:afterAutospacing="0" w:line="360" w:lineRule="auto"/>
        <w:ind w:firstLine="420"/>
        <w:rPr>
          <w:sz w:val="21"/>
          <w:szCs w:val="21"/>
        </w:rPr>
      </w:pPr>
    </w:p>
    <w:p w:rsidR="002C1A0C" w:rsidRDefault="002C1A0C">
      <w:pPr>
        <w:pStyle w:val="a5"/>
        <w:spacing w:before="0" w:beforeAutospacing="0" w:after="0" w:afterAutospacing="0" w:line="360" w:lineRule="auto"/>
        <w:ind w:firstLine="420"/>
        <w:rPr>
          <w:sz w:val="21"/>
          <w:szCs w:val="21"/>
        </w:rPr>
      </w:pPr>
    </w:p>
    <w:p w:rsidR="002C1A0C" w:rsidRDefault="00864859">
      <w:pPr>
        <w:pStyle w:val="a5"/>
        <w:spacing w:before="0" w:beforeAutospacing="0" w:after="0" w:afterAutospacing="0" w:line="360" w:lineRule="auto"/>
        <w:ind w:firstLine="420"/>
        <w:jc w:val="right"/>
        <w:rPr>
          <w:sz w:val="21"/>
          <w:szCs w:val="21"/>
        </w:rPr>
      </w:pPr>
      <w:bookmarkStart w:id="227" w:name="field_49_managerorgfullname_8"/>
      <w:r>
        <w:rPr>
          <w:rFonts w:hint="eastAsia"/>
          <w:sz w:val="21"/>
          <w:szCs w:val="21"/>
        </w:rPr>
        <w:t>博时基金管理有限公司</w:t>
      </w:r>
      <w:bookmarkEnd w:id="227"/>
      <w:r>
        <w:rPr>
          <w:sz w:val="21"/>
          <w:szCs w:val="21"/>
        </w:rPr>
        <w:t xml:space="preserve"> </w:t>
      </w:r>
      <w:r>
        <w:rPr>
          <w:rFonts w:hint="eastAsia"/>
          <w:sz w:val="21"/>
          <w:szCs w:val="21"/>
        </w:rPr>
        <w:t xml:space="preserve"> </w:t>
      </w:r>
    </w:p>
    <w:p w:rsidR="002C1A0C" w:rsidRDefault="00990FBC">
      <w:pPr>
        <w:pStyle w:val="a5"/>
        <w:spacing w:before="0" w:beforeAutospacing="0" w:after="0" w:afterAutospacing="0" w:line="360" w:lineRule="auto"/>
        <w:ind w:firstLine="420"/>
        <w:jc w:val="right"/>
        <w:rPr>
          <w:sz w:val="21"/>
          <w:szCs w:val="21"/>
        </w:rPr>
      </w:pPr>
      <w:bookmarkStart w:id="228" w:name="field_0_commitmenttime_1"/>
      <w:r>
        <w:rPr>
          <w:sz w:val="21"/>
          <w:szCs w:val="21"/>
        </w:rPr>
        <w:t>2019年12月</w:t>
      </w:r>
      <w:r>
        <w:rPr>
          <w:rFonts w:hint="eastAsia"/>
          <w:sz w:val="21"/>
          <w:szCs w:val="21"/>
        </w:rPr>
        <w:t>31</w:t>
      </w:r>
      <w:r w:rsidR="00864859">
        <w:rPr>
          <w:sz w:val="21"/>
          <w:szCs w:val="21"/>
        </w:rPr>
        <w:t>日</w:t>
      </w:r>
      <w:bookmarkEnd w:id="228"/>
      <w:r w:rsidR="00864859">
        <w:rPr>
          <w:sz w:val="21"/>
          <w:szCs w:val="21"/>
        </w:rPr>
        <w:t xml:space="preserve"> </w:t>
      </w:r>
      <w:r w:rsidR="00864859">
        <w:rPr>
          <w:rFonts w:hint="eastAsia"/>
          <w:sz w:val="21"/>
          <w:szCs w:val="21"/>
        </w:rPr>
        <w:t xml:space="preserve"> </w:t>
      </w:r>
    </w:p>
    <w:p w:rsidR="002C1A0C" w:rsidRDefault="002C1A0C">
      <w:pPr>
        <w:pStyle w:val="a5"/>
        <w:spacing w:before="0" w:beforeAutospacing="0" w:after="0" w:afterAutospacing="0" w:line="360" w:lineRule="auto"/>
        <w:ind w:firstLine="420"/>
        <w:rPr>
          <w:sz w:val="21"/>
          <w:szCs w:val="21"/>
        </w:rPr>
      </w:pPr>
      <w:bookmarkStart w:id="229" w:name="chapter_level1_26_332_section_1_end"/>
      <w:bookmarkEnd w:id="229"/>
    </w:p>
    <w:p w:rsidR="002C1A0C" w:rsidRDefault="002C1A0C">
      <w:pPr>
        <w:rPr>
          <w:rFonts w:ascii="宋体" w:eastAsia="宋体" w:hAnsi="宋体"/>
        </w:rPr>
      </w:pPr>
      <w:bookmarkStart w:id="230" w:name="end"/>
      <w:bookmarkEnd w:id="230"/>
    </w:p>
    <w:sectPr w:rsidR="002C1A0C">
      <w:headerReference w:type="default" r:id="rId10"/>
      <w:footerReference w:type="default" r:id="rId11"/>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67C" w:rsidRDefault="00F4067C">
      <w:r>
        <w:separator/>
      </w:r>
    </w:p>
  </w:endnote>
  <w:endnote w:type="continuationSeparator" w:id="0">
    <w:p w:rsidR="00F4067C" w:rsidRDefault="00F4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59" w:rsidRDefault="00864859">
    <w:pPr>
      <w:pStyle w:val="a3"/>
      <w:jc w:val="center"/>
    </w:pPr>
    <w:r>
      <w:rPr>
        <w:rFonts w:hint="eastAsia"/>
      </w:rPr>
      <w:t>第</w:t>
    </w:r>
    <w:r>
      <w:fldChar w:fldCharType="begin"/>
    </w:r>
    <w:r>
      <w:instrText xml:space="preserve"> </w:instrText>
    </w:r>
    <w:r>
      <w:rPr>
        <w:rFonts w:hint="eastAsia"/>
      </w:rPr>
      <w:instrText>Page \* MERGEFORMAT</w:instrText>
    </w:r>
    <w:r>
      <w:instrText xml:space="preserve"> </w:instrText>
    </w:r>
    <w:r>
      <w:fldChar w:fldCharType="separate"/>
    </w:r>
    <w:r w:rsidR="0008418A">
      <w:rPr>
        <w:noProof/>
      </w:rPr>
      <w:t>4</w:t>
    </w:r>
    <w:r>
      <w:fldChar w:fldCharType="end"/>
    </w:r>
    <w:r>
      <w:rPr>
        <w:rFonts w:hint="eastAsia"/>
      </w:rPr>
      <w:t>页</w:t>
    </w:r>
    <w:r>
      <w:rPr>
        <w:rFonts w:hint="eastAsia"/>
      </w:rPr>
      <w:t xml:space="preserve"> </w:t>
    </w:r>
    <w:r>
      <w:rPr>
        <w:rFonts w:hint="eastAsia"/>
      </w:rPr>
      <w:t>共</w:t>
    </w:r>
    <w:r w:rsidR="00F4067C">
      <w:fldChar w:fldCharType="begin"/>
    </w:r>
    <w:r w:rsidR="00F4067C">
      <w:instrText xml:space="preserve"> NumPages \* MERGEFORMAT </w:instrText>
    </w:r>
    <w:r w:rsidR="00F4067C">
      <w:fldChar w:fldCharType="separate"/>
    </w:r>
    <w:r w:rsidR="0008418A">
      <w:rPr>
        <w:noProof/>
      </w:rPr>
      <w:t>144</w:t>
    </w:r>
    <w:r w:rsidR="00F4067C">
      <w:rPr>
        <w:noProof/>
      </w:rP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67C" w:rsidRDefault="00F4067C">
      <w:r>
        <w:separator/>
      </w:r>
    </w:p>
  </w:footnote>
  <w:footnote w:type="continuationSeparator" w:id="0">
    <w:p w:rsidR="00F4067C" w:rsidRDefault="00F40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859" w:rsidRDefault="00864859">
    <w:pPr>
      <w:pStyle w:val="a4"/>
      <w:jc w:val="right"/>
    </w:pPr>
    <w:r>
      <w:rPr>
        <w:rFonts w:hint="eastAsia"/>
      </w:rPr>
      <w:t>博时荣享回报灵活配置定期开放混合型证券投资基金更新招募说明书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 WZD 20191225">
    <w15:presenceInfo w15:providerId="None" w15:userId="YuanTai WZD 20191225"/>
  </w15:person>
  <w15:person w15:author="YuanTai-ZLS&#10;">
    <w15:presenceInfo w15:providerId="None" w15:userId="YuanTai-ZLS&#10;"/>
  </w15:person>
  <w15:person w15:author="YuanTai1225">
    <w15:presenceInfo w15:providerId="None" w15:userId="YuanTai12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14"/>
    <w:rsid w:val="0008418A"/>
    <w:rsid w:val="000A0514"/>
    <w:rsid w:val="000F4037"/>
    <w:rsid w:val="001F6B6C"/>
    <w:rsid w:val="00242767"/>
    <w:rsid w:val="00243D5C"/>
    <w:rsid w:val="002511B3"/>
    <w:rsid w:val="00273D85"/>
    <w:rsid w:val="002C1A0C"/>
    <w:rsid w:val="002E689C"/>
    <w:rsid w:val="003F0E2C"/>
    <w:rsid w:val="00497FE4"/>
    <w:rsid w:val="005014B6"/>
    <w:rsid w:val="00586280"/>
    <w:rsid w:val="00591CEA"/>
    <w:rsid w:val="00596B3F"/>
    <w:rsid w:val="005D0CA1"/>
    <w:rsid w:val="00603EC6"/>
    <w:rsid w:val="00647CAA"/>
    <w:rsid w:val="00660FA7"/>
    <w:rsid w:val="00671E6F"/>
    <w:rsid w:val="00681366"/>
    <w:rsid w:val="006F182D"/>
    <w:rsid w:val="007322C9"/>
    <w:rsid w:val="0076117B"/>
    <w:rsid w:val="00777D47"/>
    <w:rsid w:val="00864859"/>
    <w:rsid w:val="008B3E4E"/>
    <w:rsid w:val="00990FBC"/>
    <w:rsid w:val="00B83683"/>
    <w:rsid w:val="00BA56B4"/>
    <w:rsid w:val="00BE71B7"/>
    <w:rsid w:val="00C85938"/>
    <w:rsid w:val="00C90878"/>
    <w:rsid w:val="00D46DFC"/>
    <w:rsid w:val="00DC50B0"/>
    <w:rsid w:val="00E67D71"/>
    <w:rsid w:val="00F360D3"/>
    <w:rsid w:val="00F4067C"/>
    <w:rsid w:val="00F47B26"/>
    <w:rsid w:val="00F53971"/>
    <w:rsid w:val="025079A1"/>
    <w:rsid w:val="036B64A8"/>
    <w:rsid w:val="03B9016A"/>
    <w:rsid w:val="04A64576"/>
    <w:rsid w:val="08A40C3D"/>
    <w:rsid w:val="09146942"/>
    <w:rsid w:val="0A7A104E"/>
    <w:rsid w:val="0AD1447E"/>
    <w:rsid w:val="0B7866AF"/>
    <w:rsid w:val="0D7E1C36"/>
    <w:rsid w:val="0F047C8B"/>
    <w:rsid w:val="111750C5"/>
    <w:rsid w:val="11920F10"/>
    <w:rsid w:val="11FF1218"/>
    <w:rsid w:val="15394ABA"/>
    <w:rsid w:val="15ED01AA"/>
    <w:rsid w:val="15EE28DE"/>
    <w:rsid w:val="17511E12"/>
    <w:rsid w:val="19CF6FDB"/>
    <w:rsid w:val="1D0A595C"/>
    <w:rsid w:val="1E961434"/>
    <w:rsid w:val="1ED60F90"/>
    <w:rsid w:val="1F970C60"/>
    <w:rsid w:val="22851DE1"/>
    <w:rsid w:val="27A6309E"/>
    <w:rsid w:val="28B63BD4"/>
    <w:rsid w:val="29AD6095"/>
    <w:rsid w:val="2AD5738F"/>
    <w:rsid w:val="2D9556C7"/>
    <w:rsid w:val="2DAD0063"/>
    <w:rsid w:val="2F3E7C60"/>
    <w:rsid w:val="31F41DBA"/>
    <w:rsid w:val="32703984"/>
    <w:rsid w:val="34340343"/>
    <w:rsid w:val="34B51DAE"/>
    <w:rsid w:val="35444B15"/>
    <w:rsid w:val="359148A5"/>
    <w:rsid w:val="365B2293"/>
    <w:rsid w:val="36EC7333"/>
    <w:rsid w:val="37653E7D"/>
    <w:rsid w:val="3BC675EE"/>
    <w:rsid w:val="3D061536"/>
    <w:rsid w:val="3DB26361"/>
    <w:rsid w:val="3ECA61B3"/>
    <w:rsid w:val="3F367B84"/>
    <w:rsid w:val="3FA87FE7"/>
    <w:rsid w:val="43D17EDA"/>
    <w:rsid w:val="44024F1B"/>
    <w:rsid w:val="44120F80"/>
    <w:rsid w:val="444A247B"/>
    <w:rsid w:val="46FF51DC"/>
    <w:rsid w:val="491A09BB"/>
    <w:rsid w:val="494D3824"/>
    <w:rsid w:val="4A04039A"/>
    <w:rsid w:val="4B371A3D"/>
    <w:rsid w:val="4B78592A"/>
    <w:rsid w:val="4D5C6567"/>
    <w:rsid w:val="4E2F292C"/>
    <w:rsid w:val="4E7E1CD4"/>
    <w:rsid w:val="505A7C9D"/>
    <w:rsid w:val="51046F39"/>
    <w:rsid w:val="51415DF7"/>
    <w:rsid w:val="525962D4"/>
    <w:rsid w:val="53E1515B"/>
    <w:rsid w:val="550A646C"/>
    <w:rsid w:val="55A57AF9"/>
    <w:rsid w:val="572C42EC"/>
    <w:rsid w:val="57F75286"/>
    <w:rsid w:val="58AB30F0"/>
    <w:rsid w:val="58D30916"/>
    <w:rsid w:val="59131BE3"/>
    <w:rsid w:val="59DC5527"/>
    <w:rsid w:val="5ACD0CC2"/>
    <w:rsid w:val="5D064537"/>
    <w:rsid w:val="5DDB1C11"/>
    <w:rsid w:val="5F3D688C"/>
    <w:rsid w:val="5FBB2296"/>
    <w:rsid w:val="61BE6BBA"/>
    <w:rsid w:val="640614B4"/>
    <w:rsid w:val="65A60BA9"/>
    <w:rsid w:val="67EB616C"/>
    <w:rsid w:val="69E43FB2"/>
    <w:rsid w:val="6ABE5DEF"/>
    <w:rsid w:val="6B5D529E"/>
    <w:rsid w:val="6CA77641"/>
    <w:rsid w:val="6CEE06B0"/>
    <w:rsid w:val="701B5CEF"/>
    <w:rsid w:val="712E2739"/>
    <w:rsid w:val="71BE0A3F"/>
    <w:rsid w:val="743C69BE"/>
    <w:rsid w:val="76881753"/>
    <w:rsid w:val="7A232780"/>
    <w:rsid w:val="7B6D7342"/>
    <w:rsid w:val="7B89229B"/>
    <w:rsid w:val="7C075FCE"/>
    <w:rsid w:val="7D241FDF"/>
    <w:rsid w:val="7F814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pPr>
      <w:ind w:leftChars="200" w:left="420"/>
    </w:p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Balloon Text"/>
    <w:basedOn w:val="a"/>
    <w:link w:val="Char1"/>
    <w:uiPriority w:val="99"/>
    <w:semiHidden/>
    <w:unhideWhenUsed/>
    <w:rsid w:val="00243D5C"/>
    <w:rPr>
      <w:sz w:val="18"/>
      <w:szCs w:val="18"/>
    </w:rPr>
  </w:style>
  <w:style w:type="character" w:customStyle="1" w:styleId="Char1">
    <w:name w:val="批注框文本 Char"/>
    <w:basedOn w:val="a0"/>
    <w:link w:val="a9"/>
    <w:uiPriority w:val="99"/>
    <w:semiHidden/>
    <w:rsid w:val="00243D5C"/>
    <w:rPr>
      <w:rFonts w:asciiTheme="minorHAnsi" w:eastAsiaTheme="minorEastAsia" w:hAnsiTheme="minorHAnsi" w:cstheme="minorBidi"/>
      <w:kern w:val="2"/>
      <w:sz w:val="18"/>
      <w:szCs w:val="18"/>
    </w:rPr>
  </w:style>
  <w:style w:type="paragraph" w:styleId="aa">
    <w:name w:val="Revision"/>
    <w:hidden/>
    <w:uiPriority w:val="99"/>
    <w:semiHidden/>
    <w:rsid w:val="00660FA7"/>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unhideWhenUsed/>
    <w:qFormat/>
    <w:pPr>
      <w:ind w:leftChars="200" w:left="420"/>
    </w:p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Pr>
      <w:b/>
      <w:bCs/>
    </w:rPr>
  </w:style>
  <w:style w:type="character" w:styleId="a8">
    <w:name w:val="Hyperlink"/>
    <w:basedOn w:val="a0"/>
    <w:uiPriority w:val="99"/>
    <w:unhideWhenUsed/>
    <w:rPr>
      <w:color w:val="0000FF"/>
      <w:u w:val="single"/>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Balloon Text"/>
    <w:basedOn w:val="a"/>
    <w:link w:val="Char1"/>
    <w:uiPriority w:val="99"/>
    <w:semiHidden/>
    <w:unhideWhenUsed/>
    <w:rsid w:val="00243D5C"/>
    <w:rPr>
      <w:sz w:val="18"/>
      <w:szCs w:val="18"/>
    </w:rPr>
  </w:style>
  <w:style w:type="character" w:customStyle="1" w:styleId="Char1">
    <w:name w:val="批注框文本 Char"/>
    <w:basedOn w:val="a0"/>
    <w:link w:val="a9"/>
    <w:uiPriority w:val="99"/>
    <w:semiHidden/>
    <w:rsid w:val="00243D5C"/>
    <w:rPr>
      <w:rFonts w:asciiTheme="minorHAnsi" w:eastAsiaTheme="minorEastAsia" w:hAnsiTheme="minorHAnsi" w:cstheme="minorBidi"/>
      <w:kern w:val="2"/>
      <w:sz w:val="18"/>
      <w:szCs w:val="18"/>
    </w:rPr>
  </w:style>
  <w:style w:type="paragraph" w:styleId="aa">
    <w:name w:val="Revision"/>
    <w:hidden/>
    <w:uiPriority w:val="99"/>
    <w:semiHidden/>
    <w:rsid w:val="00660FA7"/>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bosera.com"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144</Pages>
  <Words>17474</Words>
  <Characters>99604</Characters>
  <Application>Microsoft Office Word</Application>
  <DocSecurity>0</DocSecurity>
  <Lines>830</Lines>
  <Paragraphs>233</Paragraphs>
  <ScaleCrop>false</ScaleCrop>
  <Company>Bosera Funds</Company>
  <LinksUpToDate>false</LinksUpToDate>
  <CharactersWithSpaces>116845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zhaiq1</cp:lastModifiedBy>
  <cp:revision>6</cp:revision>
  <dcterms:created xsi:type="dcterms:W3CDTF">2019-12-25T08:14:00Z</dcterms:created>
  <dcterms:modified xsi:type="dcterms:W3CDTF">2019-12-28T17:34:00Z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